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865E" w14:textId="4737F708" w:rsidR="00A51C17" w:rsidRDefault="00A51C17" w:rsidP="00A51C17"/>
    <w:p w14:paraId="29BB9B97" w14:textId="77777777" w:rsidR="00C2163A" w:rsidRDefault="00C2163A" w:rsidP="00A51C17">
      <w:pPr>
        <w:rPr>
          <w:rFonts w:asciiTheme="majorHAnsi" w:hAnsiTheme="majorHAnsi" w:cstheme="majorHAnsi"/>
          <w:b/>
          <w:color w:val="003F5F" w:themeColor="accent3"/>
        </w:rPr>
      </w:pPr>
    </w:p>
    <w:p w14:paraId="1D4CC8B9" w14:textId="77777777" w:rsidR="0071012A" w:rsidRDefault="0071012A" w:rsidP="00FE60C9">
      <w:pPr>
        <w:pStyle w:val="Title"/>
      </w:pPr>
    </w:p>
    <w:p w14:paraId="25BD2505" w14:textId="77777777" w:rsidR="0071012A" w:rsidRDefault="0071012A" w:rsidP="00FE60C9">
      <w:pPr>
        <w:pStyle w:val="Title"/>
      </w:pPr>
    </w:p>
    <w:p w14:paraId="6441F30D" w14:textId="4263D0A2" w:rsidR="00FE60C9" w:rsidRPr="00805C9C" w:rsidRDefault="00351998" w:rsidP="00805C9C">
      <w:pPr>
        <w:pStyle w:val="Title"/>
        <w:jc w:val="center"/>
        <w:rPr>
          <w:b/>
          <w:sz w:val="48"/>
          <w:szCs w:val="48"/>
        </w:rPr>
      </w:pPr>
      <w:r>
        <w:rPr>
          <w:b/>
          <w:sz w:val="48"/>
          <w:szCs w:val="48"/>
        </w:rPr>
        <w:t>Greenhouse Gas Inventory Review</w:t>
      </w:r>
    </w:p>
    <w:p w14:paraId="51162971" w14:textId="6929C216" w:rsidR="007A5F8C" w:rsidRPr="00805C9C" w:rsidRDefault="00DD24DB" w:rsidP="00805C9C">
      <w:pPr>
        <w:pStyle w:val="Subtitle"/>
        <w:jc w:val="center"/>
        <w:rPr>
          <w:rFonts w:asciiTheme="majorHAnsi" w:hAnsiTheme="majorHAnsi" w:cstheme="majorBidi"/>
          <w:color w:val="003F5F" w:themeColor="text2"/>
          <w:spacing w:val="0"/>
          <w:sz w:val="36"/>
          <w:szCs w:val="36"/>
        </w:rPr>
      </w:pPr>
      <w:r>
        <w:rPr>
          <w:rFonts w:asciiTheme="majorHAnsi" w:hAnsiTheme="majorHAnsi" w:cstheme="majorBidi"/>
          <w:color w:val="003F5F" w:themeColor="text2"/>
          <w:spacing w:val="0"/>
          <w:sz w:val="36"/>
          <w:szCs w:val="36"/>
        </w:rPr>
        <w:t>Vermont’s Current Methods</w:t>
      </w:r>
      <w:r w:rsidR="000468CD">
        <w:rPr>
          <w:rFonts w:asciiTheme="majorHAnsi" w:hAnsiTheme="majorHAnsi" w:cstheme="majorBidi"/>
          <w:color w:val="003F5F" w:themeColor="text2"/>
          <w:spacing w:val="0"/>
          <w:sz w:val="36"/>
          <w:szCs w:val="36"/>
        </w:rPr>
        <w:t>, Best Practices, and Recommendations</w:t>
      </w:r>
    </w:p>
    <w:p w14:paraId="5A40A738" w14:textId="57EEF1C2" w:rsidR="00805C9C" w:rsidRDefault="00805C9C" w:rsidP="00805C9C"/>
    <w:p w14:paraId="04BD8D2D" w14:textId="77777777" w:rsidR="00C108D7" w:rsidRDefault="00C108D7" w:rsidP="00805C9C"/>
    <w:p w14:paraId="7EAEDF01" w14:textId="585127A6" w:rsidR="00805C9C" w:rsidRPr="007656EE" w:rsidRDefault="007656EE" w:rsidP="00805C9C">
      <w:pPr>
        <w:spacing w:after="160" w:line="259" w:lineRule="auto"/>
        <w:jc w:val="center"/>
        <w:rPr>
          <w:sz w:val="36"/>
          <w:szCs w:val="36"/>
        </w:rPr>
      </w:pPr>
      <w:r w:rsidRPr="007656EE">
        <w:rPr>
          <w:sz w:val="36"/>
          <w:szCs w:val="36"/>
        </w:rPr>
        <w:t>DRAFT REVIEW</w:t>
      </w:r>
    </w:p>
    <w:p w14:paraId="15AE2200" w14:textId="77777777" w:rsidR="00805C9C" w:rsidRDefault="00805C9C" w:rsidP="00805C9C">
      <w:pPr>
        <w:spacing w:after="160" w:line="259" w:lineRule="auto"/>
        <w:jc w:val="center"/>
      </w:pPr>
    </w:p>
    <w:p w14:paraId="545B1E8F" w14:textId="77777777" w:rsidR="00805C9C" w:rsidRDefault="00805C9C" w:rsidP="00805C9C">
      <w:pPr>
        <w:spacing w:after="160" w:line="259" w:lineRule="auto"/>
        <w:jc w:val="center"/>
      </w:pPr>
    </w:p>
    <w:p w14:paraId="46B03581" w14:textId="77777777" w:rsidR="00805C9C" w:rsidRDefault="00805C9C" w:rsidP="00805C9C">
      <w:pPr>
        <w:spacing w:after="160" w:line="259" w:lineRule="auto"/>
        <w:jc w:val="center"/>
        <w:rPr>
          <w:rFonts w:asciiTheme="majorHAnsi" w:eastAsiaTheme="minorEastAsia" w:hAnsiTheme="majorHAnsi" w:cstheme="majorBidi"/>
          <w:color w:val="003F5F" w:themeColor="text2"/>
          <w:sz w:val="32"/>
          <w:szCs w:val="32"/>
        </w:rPr>
      </w:pPr>
      <w:r>
        <w:rPr>
          <w:rFonts w:asciiTheme="majorHAnsi" w:eastAsiaTheme="minorEastAsia" w:hAnsiTheme="majorHAnsi" w:cstheme="majorBidi"/>
          <w:color w:val="003F5F" w:themeColor="text2"/>
          <w:sz w:val="32"/>
          <w:szCs w:val="32"/>
        </w:rPr>
        <w:t>Prepared by:</w:t>
      </w:r>
    </w:p>
    <w:p w14:paraId="62013D36" w14:textId="4510FECB" w:rsidR="00805C9C" w:rsidRDefault="000468CD" w:rsidP="00805C9C">
      <w:pPr>
        <w:spacing w:after="160" w:line="259" w:lineRule="auto"/>
        <w:jc w:val="center"/>
        <w:rPr>
          <w:rFonts w:asciiTheme="majorHAnsi" w:eastAsiaTheme="minorEastAsia" w:hAnsiTheme="majorHAnsi" w:cstheme="majorBidi"/>
          <w:b/>
          <w:color w:val="003F5F" w:themeColor="text2"/>
          <w:sz w:val="32"/>
          <w:szCs w:val="32"/>
        </w:rPr>
      </w:pPr>
      <w:r>
        <w:rPr>
          <w:rFonts w:asciiTheme="majorHAnsi" w:eastAsiaTheme="minorEastAsia" w:hAnsiTheme="majorHAnsi" w:cstheme="majorBidi"/>
          <w:b/>
          <w:color w:val="003F5F" w:themeColor="text2"/>
          <w:sz w:val="32"/>
          <w:szCs w:val="32"/>
        </w:rPr>
        <w:t>David G. Hill, Ph.D.</w:t>
      </w:r>
    </w:p>
    <w:p w14:paraId="380B88BD" w14:textId="0EC2CC88" w:rsidR="000468CD" w:rsidRDefault="000468CD" w:rsidP="00805C9C">
      <w:pPr>
        <w:spacing w:after="160" w:line="259" w:lineRule="auto"/>
        <w:jc w:val="center"/>
        <w:rPr>
          <w:rFonts w:asciiTheme="majorHAnsi" w:eastAsiaTheme="minorEastAsia" w:hAnsiTheme="majorHAnsi" w:cstheme="majorBidi"/>
          <w:b/>
          <w:color w:val="003F5F" w:themeColor="text2"/>
          <w:sz w:val="32"/>
          <w:szCs w:val="32"/>
        </w:rPr>
      </w:pPr>
      <w:r>
        <w:rPr>
          <w:rFonts w:asciiTheme="majorHAnsi" w:eastAsiaTheme="minorEastAsia" w:hAnsiTheme="majorHAnsi" w:cstheme="majorBidi"/>
          <w:b/>
          <w:color w:val="003F5F" w:themeColor="text2"/>
          <w:sz w:val="32"/>
          <w:szCs w:val="32"/>
        </w:rPr>
        <w:t>Elizabeth Bourguet</w:t>
      </w:r>
    </w:p>
    <w:p w14:paraId="622D27F7" w14:textId="571F1317" w:rsidR="000468CD" w:rsidRDefault="000468CD" w:rsidP="00805C9C">
      <w:pPr>
        <w:spacing w:after="160" w:line="259" w:lineRule="auto"/>
        <w:jc w:val="center"/>
        <w:rPr>
          <w:rFonts w:asciiTheme="majorHAnsi" w:eastAsiaTheme="minorEastAsia" w:hAnsiTheme="majorHAnsi" w:cstheme="majorBidi"/>
          <w:b/>
          <w:color w:val="003F5F" w:themeColor="text2"/>
          <w:sz w:val="32"/>
          <w:szCs w:val="32"/>
        </w:rPr>
      </w:pPr>
      <w:r>
        <w:rPr>
          <w:rFonts w:asciiTheme="majorHAnsi" w:eastAsiaTheme="minorEastAsia" w:hAnsiTheme="majorHAnsi" w:cstheme="majorBidi"/>
          <w:b/>
          <w:color w:val="003F5F" w:themeColor="text2"/>
          <w:sz w:val="32"/>
          <w:szCs w:val="32"/>
        </w:rPr>
        <w:t>Gabrielle Stebbins</w:t>
      </w:r>
    </w:p>
    <w:p w14:paraId="75EB6B71" w14:textId="6C7D7B61" w:rsidR="005533F0" w:rsidRDefault="000468CD" w:rsidP="000468CD">
      <w:pPr>
        <w:spacing w:after="160" w:line="259" w:lineRule="auto"/>
        <w:jc w:val="center"/>
        <w:rPr>
          <w:rFonts w:asciiTheme="majorHAnsi" w:eastAsiaTheme="minorEastAsia" w:hAnsiTheme="majorHAnsi" w:cstheme="majorBidi"/>
          <w:b/>
          <w:color w:val="003F5F" w:themeColor="text2"/>
          <w:sz w:val="32"/>
          <w:szCs w:val="32"/>
        </w:rPr>
      </w:pPr>
      <w:r>
        <w:rPr>
          <w:rFonts w:asciiTheme="majorHAnsi" w:eastAsiaTheme="minorEastAsia" w:hAnsiTheme="majorHAnsi" w:cstheme="majorBidi"/>
          <w:b/>
          <w:color w:val="003F5F" w:themeColor="text2"/>
          <w:sz w:val="32"/>
          <w:szCs w:val="32"/>
        </w:rPr>
        <w:t>Chris Neme</w:t>
      </w:r>
    </w:p>
    <w:p w14:paraId="1F912200" w14:textId="77777777" w:rsidR="005533F0" w:rsidRDefault="005533F0" w:rsidP="00805C9C">
      <w:pPr>
        <w:spacing w:after="160" w:line="259" w:lineRule="auto"/>
        <w:jc w:val="center"/>
        <w:rPr>
          <w:rFonts w:asciiTheme="majorHAnsi" w:eastAsiaTheme="minorEastAsia" w:hAnsiTheme="majorHAnsi" w:cstheme="majorBidi"/>
          <w:b/>
          <w:color w:val="003F5F" w:themeColor="text2"/>
          <w:sz w:val="32"/>
          <w:szCs w:val="32"/>
        </w:rPr>
      </w:pPr>
    </w:p>
    <w:p w14:paraId="7899578F" w14:textId="1ACBD4A0" w:rsidR="00805C9C" w:rsidRPr="00805C9C" w:rsidRDefault="000468CD" w:rsidP="00805C9C">
      <w:pPr>
        <w:spacing w:after="160" w:line="259" w:lineRule="auto"/>
        <w:jc w:val="center"/>
        <w:rPr>
          <w:b/>
        </w:rPr>
      </w:pPr>
      <w:r>
        <w:rPr>
          <w:rFonts w:asciiTheme="majorHAnsi" w:eastAsiaTheme="minorEastAsia" w:hAnsiTheme="majorHAnsi" w:cstheme="majorBidi"/>
          <w:b/>
          <w:color w:val="003F5F" w:themeColor="text2"/>
          <w:sz w:val="32"/>
          <w:szCs w:val="32"/>
        </w:rPr>
        <w:t>July</w:t>
      </w:r>
      <w:r w:rsidR="00805C9C" w:rsidRPr="00805C9C">
        <w:rPr>
          <w:rFonts w:asciiTheme="majorHAnsi" w:eastAsiaTheme="minorEastAsia" w:hAnsiTheme="majorHAnsi" w:cstheme="majorBidi"/>
          <w:b/>
          <w:color w:val="003F5F" w:themeColor="text2"/>
          <w:sz w:val="32"/>
          <w:szCs w:val="32"/>
        </w:rPr>
        <w:t xml:space="preserve"> 20</w:t>
      </w:r>
      <w:r w:rsidR="002D79A9">
        <w:rPr>
          <w:rFonts w:asciiTheme="majorHAnsi" w:eastAsiaTheme="minorEastAsia" w:hAnsiTheme="majorHAnsi" w:cstheme="majorBidi"/>
          <w:b/>
          <w:color w:val="003F5F" w:themeColor="text2"/>
          <w:sz w:val="32"/>
          <w:szCs w:val="32"/>
        </w:rPr>
        <w:t>2</w:t>
      </w:r>
      <w:r w:rsidR="00805C9C" w:rsidRPr="00805C9C">
        <w:rPr>
          <w:rFonts w:asciiTheme="majorHAnsi" w:eastAsiaTheme="minorEastAsia" w:hAnsiTheme="majorHAnsi" w:cstheme="majorBidi"/>
          <w:b/>
          <w:color w:val="003F5F" w:themeColor="text2"/>
          <w:sz w:val="32"/>
          <w:szCs w:val="32"/>
        </w:rPr>
        <w:t>1</w:t>
      </w:r>
      <w:r w:rsidR="00805C9C" w:rsidRPr="00805C9C">
        <w:rPr>
          <w:b/>
        </w:rPr>
        <w:br w:type="page"/>
      </w:r>
    </w:p>
    <w:sdt>
      <w:sdtPr>
        <w:rPr>
          <w:rFonts w:ascii="Calibri" w:eastAsiaTheme="minorHAnsi" w:hAnsi="Calibri" w:cstheme="minorBidi"/>
          <w:color w:val="464646" w:themeColor="text1"/>
          <w:sz w:val="22"/>
          <w:szCs w:val="22"/>
        </w:rPr>
        <w:id w:val="1492064389"/>
        <w:docPartObj>
          <w:docPartGallery w:val="Table of Contents"/>
          <w:docPartUnique/>
        </w:docPartObj>
      </w:sdtPr>
      <w:sdtEndPr>
        <w:rPr>
          <w:b/>
          <w:bCs/>
          <w:noProof/>
          <w:sz w:val="24"/>
        </w:rPr>
      </w:sdtEndPr>
      <w:sdtContent>
        <w:p w14:paraId="1E39E793" w14:textId="1BC7C104" w:rsidR="00514707" w:rsidRDefault="00514707">
          <w:pPr>
            <w:pStyle w:val="TOCHeading"/>
          </w:pPr>
          <w:r>
            <w:t>Contents</w:t>
          </w:r>
        </w:p>
        <w:p w14:paraId="67136182" w14:textId="645ECE9F" w:rsidR="009D26E6" w:rsidRDefault="00514707">
          <w:pPr>
            <w:pStyle w:val="TOC1"/>
            <w:tabs>
              <w:tab w:val="right" w:leader="dot" w:pos="9350"/>
            </w:tabs>
            <w:rPr>
              <w:rFonts w:asciiTheme="minorHAnsi" w:eastAsiaTheme="minorEastAsia" w:hAnsiTheme="minorHAnsi"/>
              <w:noProof/>
              <w:color w:val="auto"/>
              <w:sz w:val="22"/>
            </w:rPr>
          </w:pPr>
          <w:r>
            <w:rPr>
              <w:b/>
              <w:bCs/>
              <w:noProof/>
            </w:rPr>
            <w:fldChar w:fldCharType="begin"/>
          </w:r>
          <w:r>
            <w:rPr>
              <w:b/>
              <w:bCs/>
              <w:noProof/>
            </w:rPr>
            <w:instrText xml:space="preserve"> TOC \o "1-3" \h \z \u </w:instrText>
          </w:r>
          <w:r>
            <w:rPr>
              <w:b/>
              <w:bCs/>
              <w:noProof/>
            </w:rPr>
            <w:fldChar w:fldCharType="separate"/>
          </w:r>
          <w:hyperlink w:anchor="_Toc78869926" w:history="1">
            <w:r w:rsidR="009D26E6" w:rsidRPr="00673C70">
              <w:rPr>
                <w:rStyle w:val="Hyperlink"/>
                <w:noProof/>
              </w:rPr>
              <w:t>About the Authors</w:t>
            </w:r>
            <w:r w:rsidR="009D26E6">
              <w:rPr>
                <w:noProof/>
                <w:webHidden/>
              </w:rPr>
              <w:tab/>
            </w:r>
            <w:r w:rsidR="009D26E6">
              <w:rPr>
                <w:noProof/>
                <w:webHidden/>
              </w:rPr>
              <w:fldChar w:fldCharType="begin"/>
            </w:r>
            <w:r w:rsidR="009D26E6">
              <w:rPr>
                <w:noProof/>
                <w:webHidden/>
              </w:rPr>
              <w:instrText xml:space="preserve"> PAGEREF _Toc78869926 \h </w:instrText>
            </w:r>
            <w:r w:rsidR="009D26E6">
              <w:rPr>
                <w:noProof/>
                <w:webHidden/>
              </w:rPr>
            </w:r>
            <w:r w:rsidR="009D26E6">
              <w:rPr>
                <w:noProof/>
                <w:webHidden/>
              </w:rPr>
              <w:fldChar w:fldCharType="separate"/>
            </w:r>
            <w:r w:rsidR="009D26E6">
              <w:rPr>
                <w:noProof/>
                <w:webHidden/>
              </w:rPr>
              <w:t>4</w:t>
            </w:r>
            <w:r w:rsidR="009D26E6">
              <w:rPr>
                <w:noProof/>
                <w:webHidden/>
              </w:rPr>
              <w:fldChar w:fldCharType="end"/>
            </w:r>
          </w:hyperlink>
        </w:p>
        <w:p w14:paraId="6D90AEB0" w14:textId="694780A7" w:rsidR="009D26E6" w:rsidRDefault="00E655F7">
          <w:pPr>
            <w:pStyle w:val="TOC1"/>
            <w:tabs>
              <w:tab w:val="right" w:leader="dot" w:pos="9350"/>
            </w:tabs>
            <w:rPr>
              <w:rFonts w:asciiTheme="minorHAnsi" w:eastAsiaTheme="minorEastAsia" w:hAnsiTheme="minorHAnsi"/>
              <w:noProof/>
              <w:color w:val="auto"/>
              <w:sz w:val="22"/>
            </w:rPr>
          </w:pPr>
          <w:hyperlink w:anchor="_Toc78869927" w:history="1">
            <w:r w:rsidR="009D26E6" w:rsidRPr="00673C70">
              <w:rPr>
                <w:rStyle w:val="Hyperlink"/>
                <w:noProof/>
              </w:rPr>
              <w:t>Acknowledgements</w:t>
            </w:r>
            <w:r w:rsidR="009D26E6">
              <w:rPr>
                <w:noProof/>
                <w:webHidden/>
              </w:rPr>
              <w:tab/>
            </w:r>
            <w:r w:rsidR="009D26E6">
              <w:rPr>
                <w:noProof/>
                <w:webHidden/>
              </w:rPr>
              <w:fldChar w:fldCharType="begin"/>
            </w:r>
            <w:r w:rsidR="009D26E6">
              <w:rPr>
                <w:noProof/>
                <w:webHidden/>
              </w:rPr>
              <w:instrText xml:space="preserve"> PAGEREF _Toc78869927 \h </w:instrText>
            </w:r>
            <w:r w:rsidR="009D26E6">
              <w:rPr>
                <w:noProof/>
                <w:webHidden/>
              </w:rPr>
            </w:r>
            <w:r w:rsidR="009D26E6">
              <w:rPr>
                <w:noProof/>
                <w:webHidden/>
              </w:rPr>
              <w:fldChar w:fldCharType="separate"/>
            </w:r>
            <w:r w:rsidR="009D26E6">
              <w:rPr>
                <w:noProof/>
                <w:webHidden/>
              </w:rPr>
              <w:t>4</w:t>
            </w:r>
            <w:r w:rsidR="009D26E6">
              <w:rPr>
                <w:noProof/>
                <w:webHidden/>
              </w:rPr>
              <w:fldChar w:fldCharType="end"/>
            </w:r>
          </w:hyperlink>
        </w:p>
        <w:p w14:paraId="628A7671" w14:textId="2506B54B" w:rsidR="009D26E6" w:rsidRDefault="00E655F7">
          <w:pPr>
            <w:pStyle w:val="TOC1"/>
            <w:tabs>
              <w:tab w:val="right" w:leader="dot" w:pos="9350"/>
            </w:tabs>
            <w:rPr>
              <w:rFonts w:asciiTheme="minorHAnsi" w:eastAsiaTheme="minorEastAsia" w:hAnsiTheme="minorHAnsi"/>
              <w:noProof/>
              <w:color w:val="auto"/>
              <w:sz w:val="22"/>
            </w:rPr>
          </w:pPr>
          <w:hyperlink w:anchor="_Toc78869928" w:history="1">
            <w:r w:rsidR="009D26E6" w:rsidRPr="00673C70">
              <w:rPr>
                <w:rStyle w:val="Hyperlink"/>
                <w:noProof/>
              </w:rPr>
              <w:t>Acronyms &amp; Abbreviations</w:t>
            </w:r>
            <w:r w:rsidR="009D26E6">
              <w:rPr>
                <w:noProof/>
                <w:webHidden/>
              </w:rPr>
              <w:tab/>
            </w:r>
            <w:r w:rsidR="009D26E6">
              <w:rPr>
                <w:noProof/>
                <w:webHidden/>
              </w:rPr>
              <w:fldChar w:fldCharType="begin"/>
            </w:r>
            <w:r w:rsidR="009D26E6">
              <w:rPr>
                <w:noProof/>
                <w:webHidden/>
              </w:rPr>
              <w:instrText xml:space="preserve"> PAGEREF _Toc78869928 \h </w:instrText>
            </w:r>
            <w:r w:rsidR="009D26E6">
              <w:rPr>
                <w:noProof/>
                <w:webHidden/>
              </w:rPr>
            </w:r>
            <w:r w:rsidR="009D26E6">
              <w:rPr>
                <w:noProof/>
                <w:webHidden/>
              </w:rPr>
              <w:fldChar w:fldCharType="separate"/>
            </w:r>
            <w:r w:rsidR="009D26E6">
              <w:rPr>
                <w:noProof/>
                <w:webHidden/>
              </w:rPr>
              <w:t>6</w:t>
            </w:r>
            <w:r w:rsidR="009D26E6">
              <w:rPr>
                <w:noProof/>
                <w:webHidden/>
              </w:rPr>
              <w:fldChar w:fldCharType="end"/>
            </w:r>
          </w:hyperlink>
        </w:p>
        <w:p w14:paraId="74EECB74" w14:textId="05433036" w:rsidR="009D26E6" w:rsidRDefault="00E655F7">
          <w:pPr>
            <w:pStyle w:val="TOC1"/>
            <w:tabs>
              <w:tab w:val="right" w:leader="dot" w:pos="9350"/>
            </w:tabs>
            <w:rPr>
              <w:rFonts w:asciiTheme="minorHAnsi" w:eastAsiaTheme="minorEastAsia" w:hAnsiTheme="minorHAnsi"/>
              <w:noProof/>
              <w:color w:val="auto"/>
              <w:sz w:val="22"/>
            </w:rPr>
          </w:pPr>
          <w:hyperlink w:anchor="_Toc78869929" w:history="1">
            <w:r w:rsidR="009D26E6" w:rsidRPr="00673C70">
              <w:rPr>
                <w:rStyle w:val="Hyperlink"/>
                <w:noProof/>
              </w:rPr>
              <w:t>Introduction</w:t>
            </w:r>
            <w:r w:rsidR="009D26E6">
              <w:rPr>
                <w:noProof/>
                <w:webHidden/>
              </w:rPr>
              <w:tab/>
            </w:r>
            <w:r w:rsidR="009D26E6">
              <w:rPr>
                <w:noProof/>
                <w:webHidden/>
              </w:rPr>
              <w:fldChar w:fldCharType="begin"/>
            </w:r>
            <w:r w:rsidR="009D26E6">
              <w:rPr>
                <w:noProof/>
                <w:webHidden/>
              </w:rPr>
              <w:instrText xml:space="preserve"> PAGEREF _Toc78869929 \h </w:instrText>
            </w:r>
            <w:r w:rsidR="009D26E6">
              <w:rPr>
                <w:noProof/>
                <w:webHidden/>
              </w:rPr>
            </w:r>
            <w:r w:rsidR="009D26E6">
              <w:rPr>
                <w:noProof/>
                <w:webHidden/>
              </w:rPr>
              <w:fldChar w:fldCharType="separate"/>
            </w:r>
            <w:r w:rsidR="009D26E6">
              <w:rPr>
                <w:noProof/>
                <w:webHidden/>
              </w:rPr>
              <w:t>6</w:t>
            </w:r>
            <w:r w:rsidR="009D26E6">
              <w:rPr>
                <w:noProof/>
                <w:webHidden/>
              </w:rPr>
              <w:fldChar w:fldCharType="end"/>
            </w:r>
          </w:hyperlink>
        </w:p>
        <w:p w14:paraId="08000B65" w14:textId="3E1B9AE5" w:rsidR="009D26E6" w:rsidRDefault="00E655F7">
          <w:pPr>
            <w:pStyle w:val="TOC1"/>
            <w:tabs>
              <w:tab w:val="right" w:leader="dot" w:pos="9350"/>
            </w:tabs>
            <w:rPr>
              <w:rFonts w:asciiTheme="minorHAnsi" w:eastAsiaTheme="minorEastAsia" w:hAnsiTheme="minorHAnsi"/>
              <w:noProof/>
              <w:color w:val="auto"/>
              <w:sz w:val="22"/>
            </w:rPr>
          </w:pPr>
          <w:hyperlink w:anchor="_Toc78869930" w:history="1">
            <w:r w:rsidR="009D26E6" w:rsidRPr="00673C70">
              <w:rPr>
                <w:rStyle w:val="Hyperlink"/>
                <w:noProof/>
              </w:rPr>
              <w:t>Executive Summary</w:t>
            </w:r>
            <w:r w:rsidR="009D26E6">
              <w:rPr>
                <w:noProof/>
                <w:webHidden/>
              </w:rPr>
              <w:tab/>
            </w:r>
            <w:r w:rsidR="009D26E6">
              <w:rPr>
                <w:noProof/>
                <w:webHidden/>
              </w:rPr>
              <w:fldChar w:fldCharType="begin"/>
            </w:r>
            <w:r w:rsidR="009D26E6">
              <w:rPr>
                <w:noProof/>
                <w:webHidden/>
              </w:rPr>
              <w:instrText xml:space="preserve"> PAGEREF _Toc78869930 \h </w:instrText>
            </w:r>
            <w:r w:rsidR="009D26E6">
              <w:rPr>
                <w:noProof/>
                <w:webHidden/>
              </w:rPr>
            </w:r>
            <w:r w:rsidR="009D26E6">
              <w:rPr>
                <w:noProof/>
                <w:webHidden/>
              </w:rPr>
              <w:fldChar w:fldCharType="separate"/>
            </w:r>
            <w:r w:rsidR="009D26E6">
              <w:rPr>
                <w:noProof/>
                <w:webHidden/>
              </w:rPr>
              <w:t>8</w:t>
            </w:r>
            <w:r w:rsidR="009D26E6">
              <w:rPr>
                <w:noProof/>
                <w:webHidden/>
              </w:rPr>
              <w:fldChar w:fldCharType="end"/>
            </w:r>
          </w:hyperlink>
        </w:p>
        <w:p w14:paraId="04C1C4B0" w14:textId="609DCD0B" w:rsidR="009D26E6" w:rsidRDefault="00E655F7">
          <w:pPr>
            <w:pStyle w:val="TOC2"/>
            <w:tabs>
              <w:tab w:val="right" w:leader="dot" w:pos="9350"/>
            </w:tabs>
            <w:rPr>
              <w:rFonts w:asciiTheme="minorHAnsi" w:eastAsiaTheme="minorEastAsia" w:hAnsiTheme="minorHAnsi"/>
              <w:noProof/>
              <w:color w:val="auto"/>
              <w:sz w:val="22"/>
            </w:rPr>
          </w:pPr>
          <w:hyperlink w:anchor="_Toc78869931" w:history="1">
            <w:r w:rsidR="009D26E6" w:rsidRPr="00673C70">
              <w:rPr>
                <w:rStyle w:val="Hyperlink"/>
                <w:noProof/>
              </w:rPr>
              <w:t>Vermont’s GHG Inventory</w:t>
            </w:r>
            <w:r w:rsidR="009D26E6">
              <w:rPr>
                <w:noProof/>
                <w:webHidden/>
              </w:rPr>
              <w:tab/>
            </w:r>
            <w:r w:rsidR="009D26E6">
              <w:rPr>
                <w:noProof/>
                <w:webHidden/>
              </w:rPr>
              <w:fldChar w:fldCharType="begin"/>
            </w:r>
            <w:r w:rsidR="009D26E6">
              <w:rPr>
                <w:noProof/>
                <w:webHidden/>
              </w:rPr>
              <w:instrText xml:space="preserve"> PAGEREF _Toc78869931 \h </w:instrText>
            </w:r>
            <w:r w:rsidR="009D26E6">
              <w:rPr>
                <w:noProof/>
                <w:webHidden/>
              </w:rPr>
            </w:r>
            <w:r w:rsidR="009D26E6">
              <w:rPr>
                <w:noProof/>
                <w:webHidden/>
              </w:rPr>
              <w:fldChar w:fldCharType="separate"/>
            </w:r>
            <w:r w:rsidR="009D26E6">
              <w:rPr>
                <w:noProof/>
                <w:webHidden/>
              </w:rPr>
              <w:t>8</w:t>
            </w:r>
            <w:r w:rsidR="009D26E6">
              <w:rPr>
                <w:noProof/>
                <w:webHidden/>
              </w:rPr>
              <w:fldChar w:fldCharType="end"/>
            </w:r>
          </w:hyperlink>
        </w:p>
        <w:p w14:paraId="18A340BF" w14:textId="627415C3" w:rsidR="009D26E6" w:rsidRDefault="00E655F7">
          <w:pPr>
            <w:pStyle w:val="TOC2"/>
            <w:tabs>
              <w:tab w:val="right" w:leader="dot" w:pos="9350"/>
            </w:tabs>
            <w:rPr>
              <w:rFonts w:asciiTheme="minorHAnsi" w:eastAsiaTheme="minorEastAsia" w:hAnsiTheme="minorHAnsi"/>
              <w:noProof/>
              <w:color w:val="auto"/>
              <w:sz w:val="22"/>
            </w:rPr>
          </w:pPr>
          <w:hyperlink w:anchor="_Toc78869932" w:history="1">
            <w:r w:rsidR="009D26E6" w:rsidRPr="00673C70">
              <w:rPr>
                <w:rStyle w:val="Hyperlink"/>
                <w:noProof/>
              </w:rPr>
              <w:t>Comparisons to Guidelines and Select Other States</w:t>
            </w:r>
            <w:r w:rsidR="009D26E6">
              <w:rPr>
                <w:noProof/>
                <w:webHidden/>
              </w:rPr>
              <w:tab/>
            </w:r>
            <w:r w:rsidR="009D26E6">
              <w:rPr>
                <w:noProof/>
                <w:webHidden/>
              </w:rPr>
              <w:fldChar w:fldCharType="begin"/>
            </w:r>
            <w:r w:rsidR="009D26E6">
              <w:rPr>
                <w:noProof/>
                <w:webHidden/>
              </w:rPr>
              <w:instrText xml:space="preserve"> PAGEREF _Toc78869932 \h </w:instrText>
            </w:r>
            <w:r w:rsidR="009D26E6">
              <w:rPr>
                <w:noProof/>
                <w:webHidden/>
              </w:rPr>
            </w:r>
            <w:r w:rsidR="009D26E6">
              <w:rPr>
                <w:noProof/>
                <w:webHidden/>
              </w:rPr>
              <w:fldChar w:fldCharType="separate"/>
            </w:r>
            <w:r w:rsidR="009D26E6">
              <w:rPr>
                <w:noProof/>
                <w:webHidden/>
              </w:rPr>
              <w:t>9</w:t>
            </w:r>
            <w:r w:rsidR="009D26E6">
              <w:rPr>
                <w:noProof/>
                <w:webHidden/>
              </w:rPr>
              <w:fldChar w:fldCharType="end"/>
            </w:r>
          </w:hyperlink>
        </w:p>
        <w:p w14:paraId="49F7AAB0" w14:textId="6C6773E9" w:rsidR="009D26E6" w:rsidRDefault="00E655F7">
          <w:pPr>
            <w:pStyle w:val="TOC2"/>
            <w:tabs>
              <w:tab w:val="right" w:leader="dot" w:pos="9350"/>
            </w:tabs>
            <w:rPr>
              <w:rFonts w:asciiTheme="minorHAnsi" w:eastAsiaTheme="minorEastAsia" w:hAnsiTheme="minorHAnsi"/>
              <w:noProof/>
              <w:color w:val="auto"/>
              <w:sz w:val="22"/>
            </w:rPr>
          </w:pPr>
          <w:hyperlink w:anchor="_Toc78869933" w:history="1">
            <w:r w:rsidR="009D26E6" w:rsidRPr="00673C70">
              <w:rPr>
                <w:rStyle w:val="Hyperlink"/>
                <w:noProof/>
              </w:rPr>
              <w:t>Issues and Opportunities</w:t>
            </w:r>
            <w:r w:rsidR="009D26E6">
              <w:rPr>
                <w:noProof/>
                <w:webHidden/>
              </w:rPr>
              <w:tab/>
            </w:r>
            <w:r w:rsidR="009D26E6">
              <w:rPr>
                <w:noProof/>
                <w:webHidden/>
              </w:rPr>
              <w:fldChar w:fldCharType="begin"/>
            </w:r>
            <w:r w:rsidR="009D26E6">
              <w:rPr>
                <w:noProof/>
                <w:webHidden/>
              </w:rPr>
              <w:instrText xml:space="preserve"> PAGEREF _Toc78869933 \h </w:instrText>
            </w:r>
            <w:r w:rsidR="009D26E6">
              <w:rPr>
                <w:noProof/>
                <w:webHidden/>
              </w:rPr>
            </w:r>
            <w:r w:rsidR="009D26E6">
              <w:rPr>
                <w:noProof/>
                <w:webHidden/>
              </w:rPr>
              <w:fldChar w:fldCharType="separate"/>
            </w:r>
            <w:r w:rsidR="009D26E6">
              <w:rPr>
                <w:noProof/>
                <w:webHidden/>
              </w:rPr>
              <w:t>10</w:t>
            </w:r>
            <w:r w:rsidR="009D26E6">
              <w:rPr>
                <w:noProof/>
                <w:webHidden/>
              </w:rPr>
              <w:fldChar w:fldCharType="end"/>
            </w:r>
          </w:hyperlink>
        </w:p>
        <w:p w14:paraId="3D5C10D5" w14:textId="3E6AA73A" w:rsidR="009D26E6" w:rsidRDefault="00E655F7">
          <w:pPr>
            <w:pStyle w:val="TOC2"/>
            <w:tabs>
              <w:tab w:val="right" w:leader="dot" w:pos="9350"/>
            </w:tabs>
            <w:rPr>
              <w:rFonts w:asciiTheme="minorHAnsi" w:eastAsiaTheme="minorEastAsia" w:hAnsiTheme="minorHAnsi"/>
              <w:noProof/>
              <w:color w:val="auto"/>
              <w:sz w:val="22"/>
            </w:rPr>
          </w:pPr>
          <w:hyperlink w:anchor="_Toc78869934" w:history="1">
            <w:r w:rsidR="009D26E6" w:rsidRPr="00673C70">
              <w:rPr>
                <w:rStyle w:val="Hyperlink"/>
                <w:noProof/>
              </w:rPr>
              <w:t>Key Findings</w:t>
            </w:r>
            <w:r w:rsidR="009D26E6">
              <w:rPr>
                <w:noProof/>
                <w:webHidden/>
              </w:rPr>
              <w:tab/>
            </w:r>
            <w:r w:rsidR="009D26E6">
              <w:rPr>
                <w:noProof/>
                <w:webHidden/>
              </w:rPr>
              <w:fldChar w:fldCharType="begin"/>
            </w:r>
            <w:r w:rsidR="009D26E6">
              <w:rPr>
                <w:noProof/>
                <w:webHidden/>
              </w:rPr>
              <w:instrText xml:space="preserve"> PAGEREF _Toc78869934 \h </w:instrText>
            </w:r>
            <w:r w:rsidR="009D26E6">
              <w:rPr>
                <w:noProof/>
                <w:webHidden/>
              </w:rPr>
            </w:r>
            <w:r w:rsidR="009D26E6">
              <w:rPr>
                <w:noProof/>
                <w:webHidden/>
              </w:rPr>
              <w:fldChar w:fldCharType="separate"/>
            </w:r>
            <w:r w:rsidR="009D26E6">
              <w:rPr>
                <w:noProof/>
                <w:webHidden/>
              </w:rPr>
              <w:t>11</w:t>
            </w:r>
            <w:r w:rsidR="009D26E6">
              <w:rPr>
                <w:noProof/>
                <w:webHidden/>
              </w:rPr>
              <w:fldChar w:fldCharType="end"/>
            </w:r>
          </w:hyperlink>
        </w:p>
        <w:p w14:paraId="0FFE8EA1" w14:textId="077DAFFC" w:rsidR="009D26E6" w:rsidRDefault="00E655F7">
          <w:pPr>
            <w:pStyle w:val="TOC2"/>
            <w:tabs>
              <w:tab w:val="right" w:leader="dot" w:pos="9350"/>
            </w:tabs>
            <w:rPr>
              <w:rFonts w:asciiTheme="minorHAnsi" w:eastAsiaTheme="minorEastAsia" w:hAnsiTheme="minorHAnsi"/>
              <w:noProof/>
              <w:color w:val="auto"/>
              <w:sz w:val="22"/>
            </w:rPr>
          </w:pPr>
          <w:hyperlink w:anchor="_Toc78869935" w:history="1">
            <w:r w:rsidR="009D26E6" w:rsidRPr="00673C70">
              <w:rPr>
                <w:rStyle w:val="Hyperlink"/>
                <w:noProof/>
              </w:rPr>
              <w:t>Recommendations</w:t>
            </w:r>
            <w:r w:rsidR="009D26E6">
              <w:rPr>
                <w:noProof/>
                <w:webHidden/>
              </w:rPr>
              <w:tab/>
            </w:r>
            <w:r w:rsidR="009D26E6">
              <w:rPr>
                <w:noProof/>
                <w:webHidden/>
              </w:rPr>
              <w:fldChar w:fldCharType="begin"/>
            </w:r>
            <w:r w:rsidR="009D26E6">
              <w:rPr>
                <w:noProof/>
                <w:webHidden/>
              </w:rPr>
              <w:instrText xml:space="preserve"> PAGEREF _Toc78869935 \h </w:instrText>
            </w:r>
            <w:r w:rsidR="009D26E6">
              <w:rPr>
                <w:noProof/>
                <w:webHidden/>
              </w:rPr>
            </w:r>
            <w:r w:rsidR="009D26E6">
              <w:rPr>
                <w:noProof/>
                <w:webHidden/>
              </w:rPr>
              <w:fldChar w:fldCharType="separate"/>
            </w:r>
            <w:r w:rsidR="009D26E6">
              <w:rPr>
                <w:noProof/>
                <w:webHidden/>
              </w:rPr>
              <w:t>12</w:t>
            </w:r>
            <w:r w:rsidR="009D26E6">
              <w:rPr>
                <w:noProof/>
                <w:webHidden/>
              </w:rPr>
              <w:fldChar w:fldCharType="end"/>
            </w:r>
          </w:hyperlink>
        </w:p>
        <w:p w14:paraId="33B26266" w14:textId="586B1C1A" w:rsidR="009D26E6" w:rsidRDefault="00E655F7">
          <w:pPr>
            <w:pStyle w:val="TOC1"/>
            <w:tabs>
              <w:tab w:val="right" w:leader="dot" w:pos="9350"/>
            </w:tabs>
            <w:rPr>
              <w:rFonts w:asciiTheme="minorHAnsi" w:eastAsiaTheme="minorEastAsia" w:hAnsiTheme="minorHAnsi"/>
              <w:noProof/>
              <w:color w:val="auto"/>
              <w:sz w:val="22"/>
            </w:rPr>
          </w:pPr>
          <w:hyperlink w:anchor="_Toc78869936" w:history="1">
            <w:r w:rsidR="009D26E6" w:rsidRPr="00673C70">
              <w:rPr>
                <w:rStyle w:val="Hyperlink"/>
                <w:noProof/>
              </w:rPr>
              <w:t>Vermont’s Greenhouse Gas Inventory</w:t>
            </w:r>
            <w:r w:rsidR="009D26E6">
              <w:rPr>
                <w:noProof/>
                <w:webHidden/>
              </w:rPr>
              <w:tab/>
            </w:r>
            <w:r w:rsidR="009D26E6">
              <w:rPr>
                <w:noProof/>
                <w:webHidden/>
              </w:rPr>
              <w:fldChar w:fldCharType="begin"/>
            </w:r>
            <w:r w:rsidR="009D26E6">
              <w:rPr>
                <w:noProof/>
                <w:webHidden/>
              </w:rPr>
              <w:instrText xml:space="preserve"> PAGEREF _Toc78869936 \h </w:instrText>
            </w:r>
            <w:r w:rsidR="009D26E6">
              <w:rPr>
                <w:noProof/>
                <w:webHidden/>
              </w:rPr>
            </w:r>
            <w:r w:rsidR="009D26E6">
              <w:rPr>
                <w:noProof/>
                <w:webHidden/>
              </w:rPr>
              <w:fldChar w:fldCharType="separate"/>
            </w:r>
            <w:r w:rsidR="009D26E6">
              <w:rPr>
                <w:noProof/>
                <w:webHidden/>
              </w:rPr>
              <w:t>14</w:t>
            </w:r>
            <w:r w:rsidR="009D26E6">
              <w:rPr>
                <w:noProof/>
                <w:webHidden/>
              </w:rPr>
              <w:fldChar w:fldCharType="end"/>
            </w:r>
          </w:hyperlink>
        </w:p>
        <w:p w14:paraId="5D75A776" w14:textId="6ED2328A" w:rsidR="009D26E6" w:rsidRDefault="00E655F7">
          <w:pPr>
            <w:pStyle w:val="TOC2"/>
            <w:tabs>
              <w:tab w:val="right" w:leader="dot" w:pos="9350"/>
            </w:tabs>
            <w:rPr>
              <w:rFonts w:asciiTheme="minorHAnsi" w:eastAsiaTheme="minorEastAsia" w:hAnsiTheme="minorHAnsi"/>
              <w:noProof/>
              <w:color w:val="auto"/>
              <w:sz w:val="22"/>
            </w:rPr>
          </w:pPr>
          <w:hyperlink w:anchor="_Toc78869937" w:history="1">
            <w:r w:rsidR="009D26E6" w:rsidRPr="00673C70">
              <w:rPr>
                <w:rStyle w:val="Hyperlink"/>
                <w:noProof/>
              </w:rPr>
              <w:t>Statutory Authority</w:t>
            </w:r>
            <w:r w:rsidR="009D26E6">
              <w:rPr>
                <w:noProof/>
                <w:webHidden/>
              </w:rPr>
              <w:tab/>
            </w:r>
            <w:r w:rsidR="009D26E6">
              <w:rPr>
                <w:noProof/>
                <w:webHidden/>
              </w:rPr>
              <w:fldChar w:fldCharType="begin"/>
            </w:r>
            <w:r w:rsidR="009D26E6">
              <w:rPr>
                <w:noProof/>
                <w:webHidden/>
              </w:rPr>
              <w:instrText xml:space="preserve"> PAGEREF _Toc78869937 \h </w:instrText>
            </w:r>
            <w:r w:rsidR="009D26E6">
              <w:rPr>
                <w:noProof/>
                <w:webHidden/>
              </w:rPr>
            </w:r>
            <w:r w:rsidR="009D26E6">
              <w:rPr>
                <w:noProof/>
                <w:webHidden/>
              </w:rPr>
              <w:fldChar w:fldCharType="separate"/>
            </w:r>
            <w:r w:rsidR="009D26E6">
              <w:rPr>
                <w:noProof/>
                <w:webHidden/>
              </w:rPr>
              <w:t>14</w:t>
            </w:r>
            <w:r w:rsidR="009D26E6">
              <w:rPr>
                <w:noProof/>
                <w:webHidden/>
              </w:rPr>
              <w:fldChar w:fldCharType="end"/>
            </w:r>
          </w:hyperlink>
        </w:p>
        <w:p w14:paraId="05A653DB" w14:textId="02250598" w:rsidR="009D26E6" w:rsidRDefault="00E655F7">
          <w:pPr>
            <w:pStyle w:val="TOC2"/>
            <w:tabs>
              <w:tab w:val="right" w:leader="dot" w:pos="9350"/>
            </w:tabs>
            <w:rPr>
              <w:rFonts w:asciiTheme="minorHAnsi" w:eastAsiaTheme="minorEastAsia" w:hAnsiTheme="minorHAnsi"/>
              <w:noProof/>
              <w:color w:val="auto"/>
              <w:sz w:val="22"/>
            </w:rPr>
          </w:pPr>
          <w:hyperlink w:anchor="_Toc78869938" w:history="1">
            <w:r w:rsidR="009D26E6" w:rsidRPr="00673C70">
              <w:rPr>
                <w:rStyle w:val="Hyperlink"/>
                <w:noProof/>
              </w:rPr>
              <w:t>Vermont 1990-2017 Inventory</w:t>
            </w:r>
            <w:r w:rsidR="009D26E6">
              <w:rPr>
                <w:noProof/>
                <w:webHidden/>
              </w:rPr>
              <w:tab/>
            </w:r>
            <w:r w:rsidR="009D26E6">
              <w:rPr>
                <w:noProof/>
                <w:webHidden/>
              </w:rPr>
              <w:fldChar w:fldCharType="begin"/>
            </w:r>
            <w:r w:rsidR="009D26E6">
              <w:rPr>
                <w:noProof/>
                <w:webHidden/>
              </w:rPr>
              <w:instrText xml:space="preserve"> PAGEREF _Toc78869938 \h </w:instrText>
            </w:r>
            <w:r w:rsidR="009D26E6">
              <w:rPr>
                <w:noProof/>
                <w:webHidden/>
              </w:rPr>
            </w:r>
            <w:r w:rsidR="009D26E6">
              <w:rPr>
                <w:noProof/>
                <w:webHidden/>
              </w:rPr>
              <w:fldChar w:fldCharType="separate"/>
            </w:r>
            <w:r w:rsidR="009D26E6">
              <w:rPr>
                <w:noProof/>
                <w:webHidden/>
              </w:rPr>
              <w:t>14</w:t>
            </w:r>
            <w:r w:rsidR="009D26E6">
              <w:rPr>
                <w:noProof/>
                <w:webHidden/>
              </w:rPr>
              <w:fldChar w:fldCharType="end"/>
            </w:r>
          </w:hyperlink>
        </w:p>
        <w:p w14:paraId="58EBA0F2" w14:textId="252079ED" w:rsidR="009D26E6" w:rsidRDefault="00E655F7">
          <w:pPr>
            <w:pStyle w:val="TOC2"/>
            <w:tabs>
              <w:tab w:val="right" w:leader="dot" w:pos="9350"/>
            </w:tabs>
            <w:rPr>
              <w:rFonts w:asciiTheme="minorHAnsi" w:eastAsiaTheme="minorEastAsia" w:hAnsiTheme="minorHAnsi"/>
              <w:noProof/>
              <w:color w:val="auto"/>
              <w:sz w:val="22"/>
            </w:rPr>
          </w:pPr>
          <w:hyperlink w:anchor="_Toc78869939" w:history="1">
            <w:r w:rsidR="009D26E6" w:rsidRPr="00673C70">
              <w:rPr>
                <w:rStyle w:val="Hyperlink"/>
                <w:noProof/>
              </w:rPr>
              <w:t>Methods and Data</w:t>
            </w:r>
            <w:r w:rsidR="009D26E6">
              <w:rPr>
                <w:noProof/>
                <w:webHidden/>
              </w:rPr>
              <w:tab/>
            </w:r>
            <w:r w:rsidR="009D26E6">
              <w:rPr>
                <w:noProof/>
                <w:webHidden/>
              </w:rPr>
              <w:fldChar w:fldCharType="begin"/>
            </w:r>
            <w:r w:rsidR="009D26E6">
              <w:rPr>
                <w:noProof/>
                <w:webHidden/>
              </w:rPr>
              <w:instrText xml:space="preserve"> PAGEREF _Toc78869939 \h </w:instrText>
            </w:r>
            <w:r w:rsidR="009D26E6">
              <w:rPr>
                <w:noProof/>
                <w:webHidden/>
              </w:rPr>
            </w:r>
            <w:r w:rsidR="009D26E6">
              <w:rPr>
                <w:noProof/>
                <w:webHidden/>
              </w:rPr>
              <w:fldChar w:fldCharType="separate"/>
            </w:r>
            <w:r w:rsidR="009D26E6">
              <w:rPr>
                <w:noProof/>
                <w:webHidden/>
              </w:rPr>
              <w:t>15</w:t>
            </w:r>
            <w:r w:rsidR="009D26E6">
              <w:rPr>
                <w:noProof/>
                <w:webHidden/>
              </w:rPr>
              <w:fldChar w:fldCharType="end"/>
            </w:r>
          </w:hyperlink>
        </w:p>
        <w:p w14:paraId="628A3A14" w14:textId="334AA343" w:rsidR="009D26E6" w:rsidRDefault="00E655F7">
          <w:pPr>
            <w:pStyle w:val="TOC2"/>
            <w:tabs>
              <w:tab w:val="right" w:leader="dot" w:pos="9350"/>
            </w:tabs>
            <w:rPr>
              <w:rFonts w:asciiTheme="minorHAnsi" w:eastAsiaTheme="minorEastAsia" w:hAnsiTheme="minorHAnsi"/>
              <w:noProof/>
              <w:color w:val="auto"/>
              <w:sz w:val="22"/>
            </w:rPr>
          </w:pPr>
          <w:hyperlink w:anchor="_Toc78869940" w:history="1">
            <w:r w:rsidR="009D26E6" w:rsidRPr="00673C70">
              <w:rPr>
                <w:rStyle w:val="Hyperlink"/>
                <w:noProof/>
              </w:rPr>
              <w:t>Global Warming Potentials</w:t>
            </w:r>
            <w:r w:rsidR="009D26E6">
              <w:rPr>
                <w:noProof/>
                <w:webHidden/>
              </w:rPr>
              <w:tab/>
            </w:r>
            <w:r w:rsidR="009D26E6">
              <w:rPr>
                <w:noProof/>
                <w:webHidden/>
              </w:rPr>
              <w:fldChar w:fldCharType="begin"/>
            </w:r>
            <w:r w:rsidR="009D26E6">
              <w:rPr>
                <w:noProof/>
                <w:webHidden/>
              </w:rPr>
              <w:instrText xml:space="preserve"> PAGEREF _Toc78869940 \h </w:instrText>
            </w:r>
            <w:r w:rsidR="009D26E6">
              <w:rPr>
                <w:noProof/>
                <w:webHidden/>
              </w:rPr>
            </w:r>
            <w:r w:rsidR="009D26E6">
              <w:rPr>
                <w:noProof/>
                <w:webHidden/>
              </w:rPr>
              <w:fldChar w:fldCharType="separate"/>
            </w:r>
            <w:r w:rsidR="009D26E6">
              <w:rPr>
                <w:noProof/>
                <w:webHidden/>
              </w:rPr>
              <w:t>16</w:t>
            </w:r>
            <w:r w:rsidR="009D26E6">
              <w:rPr>
                <w:noProof/>
                <w:webHidden/>
              </w:rPr>
              <w:fldChar w:fldCharType="end"/>
            </w:r>
          </w:hyperlink>
        </w:p>
        <w:p w14:paraId="6BE30D1F" w14:textId="7EA01135" w:rsidR="009D26E6" w:rsidRDefault="00E655F7">
          <w:pPr>
            <w:pStyle w:val="TOC2"/>
            <w:tabs>
              <w:tab w:val="right" w:leader="dot" w:pos="9350"/>
            </w:tabs>
            <w:rPr>
              <w:rFonts w:asciiTheme="minorHAnsi" w:eastAsiaTheme="minorEastAsia" w:hAnsiTheme="minorHAnsi"/>
              <w:noProof/>
              <w:color w:val="auto"/>
              <w:sz w:val="22"/>
            </w:rPr>
          </w:pPr>
          <w:hyperlink w:anchor="_Toc78869941" w:history="1">
            <w:r w:rsidR="009D26E6" w:rsidRPr="00673C70">
              <w:rPr>
                <w:rStyle w:val="Hyperlink"/>
                <w:noProof/>
              </w:rPr>
              <w:t>Key Category Analysis</w:t>
            </w:r>
            <w:r w:rsidR="009D26E6">
              <w:rPr>
                <w:noProof/>
                <w:webHidden/>
              </w:rPr>
              <w:tab/>
            </w:r>
            <w:r w:rsidR="009D26E6">
              <w:rPr>
                <w:noProof/>
                <w:webHidden/>
              </w:rPr>
              <w:fldChar w:fldCharType="begin"/>
            </w:r>
            <w:r w:rsidR="009D26E6">
              <w:rPr>
                <w:noProof/>
                <w:webHidden/>
              </w:rPr>
              <w:instrText xml:space="preserve"> PAGEREF _Toc78869941 \h </w:instrText>
            </w:r>
            <w:r w:rsidR="009D26E6">
              <w:rPr>
                <w:noProof/>
                <w:webHidden/>
              </w:rPr>
            </w:r>
            <w:r w:rsidR="009D26E6">
              <w:rPr>
                <w:noProof/>
                <w:webHidden/>
              </w:rPr>
              <w:fldChar w:fldCharType="separate"/>
            </w:r>
            <w:r w:rsidR="009D26E6">
              <w:rPr>
                <w:noProof/>
                <w:webHidden/>
              </w:rPr>
              <w:t>16</w:t>
            </w:r>
            <w:r w:rsidR="009D26E6">
              <w:rPr>
                <w:noProof/>
                <w:webHidden/>
              </w:rPr>
              <w:fldChar w:fldCharType="end"/>
            </w:r>
          </w:hyperlink>
        </w:p>
        <w:p w14:paraId="007B41C5" w14:textId="39EED669" w:rsidR="009D26E6" w:rsidRDefault="00E655F7">
          <w:pPr>
            <w:pStyle w:val="TOC2"/>
            <w:tabs>
              <w:tab w:val="right" w:leader="dot" w:pos="9350"/>
            </w:tabs>
            <w:rPr>
              <w:rFonts w:asciiTheme="minorHAnsi" w:eastAsiaTheme="minorEastAsia" w:hAnsiTheme="minorHAnsi"/>
              <w:noProof/>
              <w:color w:val="auto"/>
              <w:sz w:val="22"/>
            </w:rPr>
          </w:pPr>
          <w:hyperlink w:anchor="_Toc78869942" w:history="1">
            <w:r w:rsidR="009D26E6" w:rsidRPr="00673C70">
              <w:rPr>
                <w:rStyle w:val="Hyperlink"/>
                <w:noProof/>
              </w:rPr>
              <w:t>Biogenic Emissions and Sequestration</w:t>
            </w:r>
            <w:r w:rsidR="009D26E6">
              <w:rPr>
                <w:noProof/>
                <w:webHidden/>
              </w:rPr>
              <w:tab/>
            </w:r>
            <w:r w:rsidR="009D26E6">
              <w:rPr>
                <w:noProof/>
                <w:webHidden/>
              </w:rPr>
              <w:fldChar w:fldCharType="begin"/>
            </w:r>
            <w:r w:rsidR="009D26E6">
              <w:rPr>
                <w:noProof/>
                <w:webHidden/>
              </w:rPr>
              <w:instrText xml:space="preserve"> PAGEREF _Toc78869942 \h </w:instrText>
            </w:r>
            <w:r w:rsidR="009D26E6">
              <w:rPr>
                <w:noProof/>
                <w:webHidden/>
              </w:rPr>
            </w:r>
            <w:r w:rsidR="009D26E6">
              <w:rPr>
                <w:noProof/>
                <w:webHidden/>
              </w:rPr>
              <w:fldChar w:fldCharType="separate"/>
            </w:r>
            <w:r w:rsidR="009D26E6">
              <w:rPr>
                <w:noProof/>
                <w:webHidden/>
              </w:rPr>
              <w:t>17</w:t>
            </w:r>
            <w:r w:rsidR="009D26E6">
              <w:rPr>
                <w:noProof/>
                <w:webHidden/>
              </w:rPr>
              <w:fldChar w:fldCharType="end"/>
            </w:r>
          </w:hyperlink>
        </w:p>
        <w:p w14:paraId="1396DE70" w14:textId="372C37B6" w:rsidR="009D26E6" w:rsidRDefault="00E655F7">
          <w:pPr>
            <w:pStyle w:val="TOC1"/>
            <w:tabs>
              <w:tab w:val="right" w:leader="dot" w:pos="9350"/>
            </w:tabs>
            <w:rPr>
              <w:rFonts w:asciiTheme="minorHAnsi" w:eastAsiaTheme="minorEastAsia" w:hAnsiTheme="minorHAnsi"/>
              <w:noProof/>
              <w:color w:val="auto"/>
              <w:sz w:val="22"/>
            </w:rPr>
          </w:pPr>
          <w:hyperlink w:anchor="_Toc78869943" w:history="1">
            <w:r w:rsidR="009D26E6" w:rsidRPr="00673C70">
              <w:rPr>
                <w:rStyle w:val="Hyperlink"/>
                <w:noProof/>
              </w:rPr>
              <w:t>Comparing Vermont to Guidelines and Other States</w:t>
            </w:r>
            <w:r w:rsidR="009D26E6">
              <w:rPr>
                <w:noProof/>
                <w:webHidden/>
              </w:rPr>
              <w:tab/>
            </w:r>
            <w:r w:rsidR="009D26E6">
              <w:rPr>
                <w:noProof/>
                <w:webHidden/>
              </w:rPr>
              <w:fldChar w:fldCharType="begin"/>
            </w:r>
            <w:r w:rsidR="009D26E6">
              <w:rPr>
                <w:noProof/>
                <w:webHidden/>
              </w:rPr>
              <w:instrText xml:space="preserve"> PAGEREF _Toc78869943 \h </w:instrText>
            </w:r>
            <w:r w:rsidR="009D26E6">
              <w:rPr>
                <w:noProof/>
                <w:webHidden/>
              </w:rPr>
            </w:r>
            <w:r w:rsidR="009D26E6">
              <w:rPr>
                <w:noProof/>
                <w:webHidden/>
              </w:rPr>
              <w:fldChar w:fldCharType="separate"/>
            </w:r>
            <w:r w:rsidR="009D26E6">
              <w:rPr>
                <w:noProof/>
                <w:webHidden/>
              </w:rPr>
              <w:t>18</w:t>
            </w:r>
            <w:r w:rsidR="009D26E6">
              <w:rPr>
                <w:noProof/>
                <w:webHidden/>
              </w:rPr>
              <w:fldChar w:fldCharType="end"/>
            </w:r>
          </w:hyperlink>
        </w:p>
        <w:p w14:paraId="1DE02730" w14:textId="4614CFC6" w:rsidR="009D26E6" w:rsidRDefault="00E655F7">
          <w:pPr>
            <w:pStyle w:val="TOC2"/>
            <w:tabs>
              <w:tab w:val="right" w:leader="dot" w:pos="9350"/>
            </w:tabs>
            <w:rPr>
              <w:rFonts w:asciiTheme="minorHAnsi" w:eastAsiaTheme="minorEastAsia" w:hAnsiTheme="minorHAnsi"/>
              <w:noProof/>
              <w:color w:val="auto"/>
              <w:sz w:val="22"/>
            </w:rPr>
          </w:pPr>
          <w:hyperlink w:anchor="_Toc78869944" w:history="1">
            <w:r w:rsidR="009D26E6" w:rsidRPr="00673C70">
              <w:rPr>
                <w:rStyle w:val="Hyperlink"/>
                <w:noProof/>
              </w:rPr>
              <w:t>IPCC Guidelines</w:t>
            </w:r>
            <w:r w:rsidR="009D26E6">
              <w:rPr>
                <w:noProof/>
                <w:webHidden/>
              </w:rPr>
              <w:tab/>
            </w:r>
            <w:r w:rsidR="009D26E6">
              <w:rPr>
                <w:noProof/>
                <w:webHidden/>
              </w:rPr>
              <w:fldChar w:fldCharType="begin"/>
            </w:r>
            <w:r w:rsidR="009D26E6">
              <w:rPr>
                <w:noProof/>
                <w:webHidden/>
              </w:rPr>
              <w:instrText xml:space="preserve"> PAGEREF _Toc78869944 \h </w:instrText>
            </w:r>
            <w:r w:rsidR="009D26E6">
              <w:rPr>
                <w:noProof/>
                <w:webHidden/>
              </w:rPr>
            </w:r>
            <w:r w:rsidR="009D26E6">
              <w:rPr>
                <w:noProof/>
                <w:webHidden/>
              </w:rPr>
              <w:fldChar w:fldCharType="separate"/>
            </w:r>
            <w:r w:rsidR="009D26E6">
              <w:rPr>
                <w:noProof/>
                <w:webHidden/>
              </w:rPr>
              <w:t>18</w:t>
            </w:r>
            <w:r w:rsidR="009D26E6">
              <w:rPr>
                <w:noProof/>
                <w:webHidden/>
              </w:rPr>
              <w:fldChar w:fldCharType="end"/>
            </w:r>
          </w:hyperlink>
        </w:p>
        <w:p w14:paraId="3B4C19C4" w14:textId="45208635" w:rsidR="009D26E6" w:rsidRDefault="00E655F7">
          <w:pPr>
            <w:pStyle w:val="TOC2"/>
            <w:tabs>
              <w:tab w:val="right" w:leader="dot" w:pos="9350"/>
            </w:tabs>
            <w:rPr>
              <w:rFonts w:asciiTheme="minorHAnsi" w:eastAsiaTheme="minorEastAsia" w:hAnsiTheme="minorHAnsi"/>
              <w:noProof/>
              <w:color w:val="auto"/>
              <w:sz w:val="22"/>
            </w:rPr>
          </w:pPr>
          <w:hyperlink w:anchor="_Toc78869945" w:history="1">
            <w:r w:rsidR="009D26E6" w:rsidRPr="00673C70">
              <w:rPr>
                <w:rStyle w:val="Hyperlink"/>
                <w:noProof/>
              </w:rPr>
              <w:t>EPA Guidance</w:t>
            </w:r>
            <w:r w:rsidR="009D26E6">
              <w:rPr>
                <w:noProof/>
                <w:webHidden/>
              </w:rPr>
              <w:tab/>
            </w:r>
            <w:r w:rsidR="009D26E6">
              <w:rPr>
                <w:noProof/>
                <w:webHidden/>
              </w:rPr>
              <w:fldChar w:fldCharType="begin"/>
            </w:r>
            <w:r w:rsidR="009D26E6">
              <w:rPr>
                <w:noProof/>
                <w:webHidden/>
              </w:rPr>
              <w:instrText xml:space="preserve"> PAGEREF _Toc78869945 \h </w:instrText>
            </w:r>
            <w:r w:rsidR="009D26E6">
              <w:rPr>
                <w:noProof/>
                <w:webHidden/>
              </w:rPr>
            </w:r>
            <w:r w:rsidR="009D26E6">
              <w:rPr>
                <w:noProof/>
                <w:webHidden/>
              </w:rPr>
              <w:fldChar w:fldCharType="separate"/>
            </w:r>
            <w:r w:rsidR="009D26E6">
              <w:rPr>
                <w:noProof/>
                <w:webHidden/>
              </w:rPr>
              <w:t>19</w:t>
            </w:r>
            <w:r w:rsidR="009D26E6">
              <w:rPr>
                <w:noProof/>
                <w:webHidden/>
              </w:rPr>
              <w:fldChar w:fldCharType="end"/>
            </w:r>
          </w:hyperlink>
        </w:p>
        <w:p w14:paraId="718554AC" w14:textId="1442F7B1" w:rsidR="009D26E6" w:rsidRDefault="00E655F7">
          <w:pPr>
            <w:pStyle w:val="TOC2"/>
            <w:tabs>
              <w:tab w:val="right" w:leader="dot" w:pos="9350"/>
            </w:tabs>
            <w:rPr>
              <w:rFonts w:asciiTheme="minorHAnsi" w:eastAsiaTheme="minorEastAsia" w:hAnsiTheme="minorHAnsi"/>
              <w:noProof/>
              <w:color w:val="auto"/>
              <w:sz w:val="22"/>
            </w:rPr>
          </w:pPr>
          <w:hyperlink w:anchor="_Toc78869946" w:history="1">
            <w:r w:rsidR="009D26E6" w:rsidRPr="00673C70">
              <w:rPr>
                <w:rStyle w:val="Hyperlink"/>
                <w:noProof/>
              </w:rPr>
              <w:t>Comparison and Examples from Select Leading States</w:t>
            </w:r>
            <w:r w:rsidR="009D26E6">
              <w:rPr>
                <w:noProof/>
                <w:webHidden/>
              </w:rPr>
              <w:tab/>
            </w:r>
            <w:r w:rsidR="009D26E6">
              <w:rPr>
                <w:noProof/>
                <w:webHidden/>
              </w:rPr>
              <w:fldChar w:fldCharType="begin"/>
            </w:r>
            <w:r w:rsidR="009D26E6">
              <w:rPr>
                <w:noProof/>
                <w:webHidden/>
              </w:rPr>
              <w:instrText xml:space="preserve"> PAGEREF _Toc78869946 \h </w:instrText>
            </w:r>
            <w:r w:rsidR="009D26E6">
              <w:rPr>
                <w:noProof/>
                <w:webHidden/>
              </w:rPr>
            </w:r>
            <w:r w:rsidR="009D26E6">
              <w:rPr>
                <w:noProof/>
                <w:webHidden/>
              </w:rPr>
              <w:fldChar w:fldCharType="separate"/>
            </w:r>
            <w:r w:rsidR="009D26E6">
              <w:rPr>
                <w:noProof/>
                <w:webHidden/>
              </w:rPr>
              <w:t>20</w:t>
            </w:r>
            <w:r w:rsidR="009D26E6">
              <w:rPr>
                <w:noProof/>
                <w:webHidden/>
              </w:rPr>
              <w:fldChar w:fldCharType="end"/>
            </w:r>
          </w:hyperlink>
        </w:p>
        <w:p w14:paraId="230E3230" w14:textId="1FCCA3E0" w:rsidR="009D26E6" w:rsidRDefault="00E655F7">
          <w:pPr>
            <w:pStyle w:val="TOC2"/>
            <w:tabs>
              <w:tab w:val="right" w:leader="dot" w:pos="9350"/>
            </w:tabs>
            <w:rPr>
              <w:rFonts w:asciiTheme="minorHAnsi" w:eastAsiaTheme="minorEastAsia" w:hAnsiTheme="minorHAnsi"/>
              <w:noProof/>
              <w:color w:val="auto"/>
              <w:sz w:val="22"/>
            </w:rPr>
          </w:pPr>
          <w:hyperlink w:anchor="_Toc78869947" w:history="1">
            <w:r w:rsidR="009D26E6" w:rsidRPr="00673C70">
              <w:rPr>
                <w:rStyle w:val="Hyperlink"/>
                <w:noProof/>
              </w:rPr>
              <w:t>Emissions Inventory Crosswalk and Good Practices</w:t>
            </w:r>
            <w:r w:rsidR="009D26E6">
              <w:rPr>
                <w:noProof/>
                <w:webHidden/>
              </w:rPr>
              <w:tab/>
            </w:r>
            <w:r w:rsidR="009D26E6">
              <w:rPr>
                <w:noProof/>
                <w:webHidden/>
              </w:rPr>
              <w:fldChar w:fldCharType="begin"/>
            </w:r>
            <w:r w:rsidR="009D26E6">
              <w:rPr>
                <w:noProof/>
                <w:webHidden/>
              </w:rPr>
              <w:instrText xml:space="preserve"> PAGEREF _Toc78869947 \h </w:instrText>
            </w:r>
            <w:r w:rsidR="009D26E6">
              <w:rPr>
                <w:noProof/>
                <w:webHidden/>
              </w:rPr>
            </w:r>
            <w:r w:rsidR="009D26E6">
              <w:rPr>
                <w:noProof/>
                <w:webHidden/>
              </w:rPr>
              <w:fldChar w:fldCharType="separate"/>
            </w:r>
            <w:r w:rsidR="009D26E6">
              <w:rPr>
                <w:noProof/>
                <w:webHidden/>
              </w:rPr>
              <w:t>21</w:t>
            </w:r>
            <w:r w:rsidR="009D26E6">
              <w:rPr>
                <w:noProof/>
                <w:webHidden/>
              </w:rPr>
              <w:fldChar w:fldCharType="end"/>
            </w:r>
          </w:hyperlink>
        </w:p>
        <w:p w14:paraId="72A81DE5" w14:textId="233D926A" w:rsidR="009D26E6" w:rsidRDefault="00E655F7">
          <w:pPr>
            <w:pStyle w:val="TOC1"/>
            <w:tabs>
              <w:tab w:val="right" w:leader="dot" w:pos="9350"/>
            </w:tabs>
            <w:rPr>
              <w:rFonts w:asciiTheme="minorHAnsi" w:eastAsiaTheme="minorEastAsia" w:hAnsiTheme="minorHAnsi"/>
              <w:noProof/>
              <w:color w:val="auto"/>
              <w:sz w:val="22"/>
            </w:rPr>
          </w:pPr>
          <w:hyperlink w:anchor="_Toc78869948" w:history="1">
            <w:r w:rsidR="009D26E6" w:rsidRPr="00673C70">
              <w:rPr>
                <w:rStyle w:val="Hyperlink"/>
                <w:noProof/>
              </w:rPr>
              <w:t>Consumption-Based Emissions Inventories</w:t>
            </w:r>
            <w:r w:rsidR="009D26E6">
              <w:rPr>
                <w:noProof/>
                <w:webHidden/>
              </w:rPr>
              <w:tab/>
            </w:r>
            <w:r w:rsidR="009D26E6">
              <w:rPr>
                <w:noProof/>
                <w:webHidden/>
              </w:rPr>
              <w:fldChar w:fldCharType="begin"/>
            </w:r>
            <w:r w:rsidR="009D26E6">
              <w:rPr>
                <w:noProof/>
                <w:webHidden/>
              </w:rPr>
              <w:instrText xml:space="preserve"> PAGEREF _Toc78869948 \h </w:instrText>
            </w:r>
            <w:r w:rsidR="009D26E6">
              <w:rPr>
                <w:noProof/>
                <w:webHidden/>
              </w:rPr>
            </w:r>
            <w:r w:rsidR="009D26E6">
              <w:rPr>
                <w:noProof/>
                <w:webHidden/>
              </w:rPr>
              <w:fldChar w:fldCharType="separate"/>
            </w:r>
            <w:r w:rsidR="009D26E6">
              <w:rPr>
                <w:noProof/>
                <w:webHidden/>
              </w:rPr>
              <w:t>21</w:t>
            </w:r>
            <w:r w:rsidR="009D26E6">
              <w:rPr>
                <w:noProof/>
                <w:webHidden/>
              </w:rPr>
              <w:fldChar w:fldCharType="end"/>
            </w:r>
          </w:hyperlink>
        </w:p>
        <w:p w14:paraId="368FDED1" w14:textId="7F962B48" w:rsidR="009D26E6" w:rsidRDefault="00E655F7">
          <w:pPr>
            <w:pStyle w:val="TOC2"/>
            <w:tabs>
              <w:tab w:val="right" w:leader="dot" w:pos="9350"/>
            </w:tabs>
            <w:rPr>
              <w:rFonts w:asciiTheme="minorHAnsi" w:eastAsiaTheme="minorEastAsia" w:hAnsiTheme="minorHAnsi"/>
              <w:noProof/>
              <w:color w:val="auto"/>
              <w:sz w:val="22"/>
            </w:rPr>
          </w:pPr>
          <w:hyperlink w:anchor="_Toc78869949" w:history="1">
            <w:r w:rsidR="009D26E6" w:rsidRPr="00673C70">
              <w:rPr>
                <w:rStyle w:val="Hyperlink"/>
                <w:noProof/>
              </w:rPr>
              <w:t>Review of Key Differences and Similarities between Consumption- and Sector- Based Inventories</w:t>
            </w:r>
            <w:r w:rsidR="009D26E6">
              <w:rPr>
                <w:noProof/>
                <w:webHidden/>
              </w:rPr>
              <w:tab/>
            </w:r>
            <w:r w:rsidR="009D26E6">
              <w:rPr>
                <w:noProof/>
                <w:webHidden/>
              </w:rPr>
              <w:fldChar w:fldCharType="begin"/>
            </w:r>
            <w:r w:rsidR="009D26E6">
              <w:rPr>
                <w:noProof/>
                <w:webHidden/>
              </w:rPr>
              <w:instrText xml:space="preserve"> PAGEREF _Toc78869949 \h </w:instrText>
            </w:r>
            <w:r w:rsidR="009D26E6">
              <w:rPr>
                <w:noProof/>
                <w:webHidden/>
              </w:rPr>
            </w:r>
            <w:r w:rsidR="009D26E6">
              <w:rPr>
                <w:noProof/>
                <w:webHidden/>
              </w:rPr>
              <w:fldChar w:fldCharType="separate"/>
            </w:r>
            <w:r w:rsidR="009D26E6">
              <w:rPr>
                <w:noProof/>
                <w:webHidden/>
              </w:rPr>
              <w:t>21</w:t>
            </w:r>
            <w:r w:rsidR="009D26E6">
              <w:rPr>
                <w:noProof/>
                <w:webHidden/>
              </w:rPr>
              <w:fldChar w:fldCharType="end"/>
            </w:r>
          </w:hyperlink>
        </w:p>
        <w:p w14:paraId="4863BEE2" w14:textId="2C1EF679" w:rsidR="009D26E6" w:rsidRDefault="00E655F7">
          <w:pPr>
            <w:pStyle w:val="TOC2"/>
            <w:tabs>
              <w:tab w:val="right" w:leader="dot" w:pos="9350"/>
            </w:tabs>
            <w:rPr>
              <w:rFonts w:asciiTheme="minorHAnsi" w:eastAsiaTheme="minorEastAsia" w:hAnsiTheme="minorHAnsi"/>
              <w:noProof/>
              <w:color w:val="auto"/>
              <w:sz w:val="22"/>
            </w:rPr>
          </w:pPr>
          <w:hyperlink w:anchor="_Toc78869950" w:history="1">
            <w:r w:rsidR="009D26E6" w:rsidRPr="00673C70">
              <w:rPr>
                <w:rStyle w:val="Hyperlink"/>
                <w:noProof/>
              </w:rPr>
              <w:t>Consumption-Based Inventory Experience from Oregon and Minnesota</w:t>
            </w:r>
            <w:r w:rsidR="009D26E6">
              <w:rPr>
                <w:noProof/>
                <w:webHidden/>
              </w:rPr>
              <w:tab/>
            </w:r>
            <w:r w:rsidR="009D26E6">
              <w:rPr>
                <w:noProof/>
                <w:webHidden/>
              </w:rPr>
              <w:fldChar w:fldCharType="begin"/>
            </w:r>
            <w:r w:rsidR="009D26E6">
              <w:rPr>
                <w:noProof/>
                <w:webHidden/>
              </w:rPr>
              <w:instrText xml:space="preserve"> PAGEREF _Toc78869950 \h </w:instrText>
            </w:r>
            <w:r w:rsidR="009D26E6">
              <w:rPr>
                <w:noProof/>
                <w:webHidden/>
              </w:rPr>
            </w:r>
            <w:r w:rsidR="009D26E6">
              <w:rPr>
                <w:noProof/>
                <w:webHidden/>
              </w:rPr>
              <w:fldChar w:fldCharType="separate"/>
            </w:r>
            <w:r w:rsidR="009D26E6">
              <w:rPr>
                <w:noProof/>
                <w:webHidden/>
              </w:rPr>
              <w:t>22</w:t>
            </w:r>
            <w:r w:rsidR="009D26E6">
              <w:rPr>
                <w:noProof/>
                <w:webHidden/>
              </w:rPr>
              <w:fldChar w:fldCharType="end"/>
            </w:r>
          </w:hyperlink>
        </w:p>
        <w:p w14:paraId="359EBE77" w14:textId="1AB33C58" w:rsidR="009D26E6" w:rsidRDefault="00E655F7">
          <w:pPr>
            <w:pStyle w:val="TOC2"/>
            <w:tabs>
              <w:tab w:val="right" w:leader="dot" w:pos="9350"/>
            </w:tabs>
            <w:rPr>
              <w:rFonts w:asciiTheme="minorHAnsi" w:eastAsiaTheme="minorEastAsia" w:hAnsiTheme="minorHAnsi"/>
              <w:noProof/>
              <w:color w:val="auto"/>
              <w:sz w:val="22"/>
            </w:rPr>
          </w:pPr>
          <w:hyperlink w:anchor="_Toc78869951" w:history="1">
            <w:r w:rsidR="009D26E6" w:rsidRPr="00673C70">
              <w:rPr>
                <w:rStyle w:val="Hyperlink"/>
                <w:noProof/>
              </w:rPr>
              <w:t>Best Uses of Consumption-Based Inventory for Vermont</w:t>
            </w:r>
            <w:r w:rsidR="009D26E6">
              <w:rPr>
                <w:noProof/>
                <w:webHidden/>
              </w:rPr>
              <w:tab/>
            </w:r>
            <w:r w:rsidR="009D26E6">
              <w:rPr>
                <w:noProof/>
                <w:webHidden/>
              </w:rPr>
              <w:fldChar w:fldCharType="begin"/>
            </w:r>
            <w:r w:rsidR="009D26E6">
              <w:rPr>
                <w:noProof/>
                <w:webHidden/>
              </w:rPr>
              <w:instrText xml:space="preserve"> PAGEREF _Toc78869951 \h </w:instrText>
            </w:r>
            <w:r w:rsidR="009D26E6">
              <w:rPr>
                <w:noProof/>
                <w:webHidden/>
              </w:rPr>
            </w:r>
            <w:r w:rsidR="009D26E6">
              <w:rPr>
                <w:noProof/>
                <w:webHidden/>
              </w:rPr>
              <w:fldChar w:fldCharType="separate"/>
            </w:r>
            <w:r w:rsidR="009D26E6">
              <w:rPr>
                <w:noProof/>
                <w:webHidden/>
              </w:rPr>
              <w:t>25</w:t>
            </w:r>
            <w:r w:rsidR="009D26E6">
              <w:rPr>
                <w:noProof/>
                <w:webHidden/>
              </w:rPr>
              <w:fldChar w:fldCharType="end"/>
            </w:r>
          </w:hyperlink>
        </w:p>
        <w:p w14:paraId="25FDB752" w14:textId="36FC85AE" w:rsidR="009D26E6" w:rsidRDefault="00E655F7">
          <w:pPr>
            <w:pStyle w:val="TOC1"/>
            <w:tabs>
              <w:tab w:val="right" w:leader="dot" w:pos="9350"/>
            </w:tabs>
            <w:rPr>
              <w:rFonts w:asciiTheme="minorHAnsi" w:eastAsiaTheme="minorEastAsia" w:hAnsiTheme="minorHAnsi"/>
              <w:noProof/>
              <w:color w:val="auto"/>
              <w:sz w:val="22"/>
            </w:rPr>
          </w:pPr>
          <w:hyperlink w:anchor="_Toc78869952" w:history="1">
            <w:r w:rsidR="009D26E6" w:rsidRPr="00673C70">
              <w:rPr>
                <w:rStyle w:val="Hyperlink"/>
                <w:noProof/>
              </w:rPr>
              <w:t>Issues and Opportunities</w:t>
            </w:r>
            <w:r w:rsidR="009D26E6">
              <w:rPr>
                <w:noProof/>
                <w:webHidden/>
              </w:rPr>
              <w:tab/>
            </w:r>
            <w:r w:rsidR="009D26E6">
              <w:rPr>
                <w:noProof/>
                <w:webHidden/>
              </w:rPr>
              <w:fldChar w:fldCharType="begin"/>
            </w:r>
            <w:r w:rsidR="009D26E6">
              <w:rPr>
                <w:noProof/>
                <w:webHidden/>
              </w:rPr>
              <w:instrText xml:space="preserve"> PAGEREF _Toc78869952 \h </w:instrText>
            </w:r>
            <w:r w:rsidR="009D26E6">
              <w:rPr>
                <w:noProof/>
                <w:webHidden/>
              </w:rPr>
            </w:r>
            <w:r w:rsidR="009D26E6">
              <w:rPr>
                <w:noProof/>
                <w:webHidden/>
              </w:rPr>
              <w:fldChar w:fldCharType="separate"/>
            </w:r>
            <w:r w:rsidR="009D26E6">
              <w:rPr>
                <w:noProof/>
                <w:webHidden/>
              </w:rPr>
              <w:t>26</w:t>
            </w:r>
            <w:r w:rsidR="009D26E6">
              <w:rPr>
                <w:noProof/>
                <w:webHidden/>
              </w:rPr>
              <w:fldChar w:fldCharType="end"/>
            </w:r>
          </w:hyperlink>
        </w:p>
        <w:p w14:paraId="116E8156" w14:textId="66D7BBE9" w:rsidR="009D26E6" w:rsidRDefault="00E655F7">
          <w:pPr>
            <w:pStyle w:val="TOC2"/>
            <w:tabs>
              <w:tab w:val="right" w:leader="dot" w:pos="9350"/>
            </w:tabs>
            <w:rPr>
              <w:rFonts w:asciiTheme="minorHAnsi" w:eastAsiaTheme="minorEastAsia" w:hAnsiTheme="minorHAnsi"/>
              <w:noProof/>
              <w:color w:val="auto"/>
              <w:sz w:val="22"/>
            </w:rPr>
          </w:pPr>
          <w:hyperlink w:anchor="_Toc78869953" w:history="1">
            <w:r w:rsidR="009D26E6" w:rsidRPr="00673C70">
              <w:rPr>
                <w:rStyle w:val="Hyperlink"/>
                <w:noProof/>
              </w:rPr>
              <w:t>Issues with Vermont Inventory</w:t>
            </w:r>
            <w:r w:rsidR="009D26E6">
              <w:rPr>
                <w:noProof/>
                <w:webHidden/>
              </w:rPr>
              <w:tab/>
            </w:r>
            <w:r w:rsidR="009D26E6">
              <w:rPr>
                <w:noProof/>
                <w:webHidden/>
              </w:rPr>
              <w:fldChar w:fldCharType="begin"/>
            </w:r>
            <w:r w:rsidR="009D26E6">
              <w:rPr>
                <w:noProof/>
                <w:webHidden/>
              </w:rPr>
              <w:instrText xml:space="preserve"> PAGEREF _Toc78869953 \h </w:instrText>
            </w:r>
            <w:r w:rsidR="009D26E6">
              <w:rPr>
                <w:noProof/>
                <w:webHidden/>
              </w:rPr>
            </w:r>
            <w:r w:rsidR="009D26E6">
              <w:rPr>
                <w:noProof/>
                <w:webHidden/>
              </w:rPr>
              <w:fldChar w:fldCharType="separate"/>
            </w:r>
            <w:r w:rsidR="009D26E6">
              <w:rPr>
                <w:noProof/>
                <w:webHidden/>
              </w:rPr>
              <w:t>26</w:t>
            </w:r>
            <w:r w:rsidR="009D26E6">
              <w:rPr>
                <w:noProof/>
                <w:webHidden/>
              </w:rPr>
              <w:fldChar w:fldCharType="end"/>
            </w:r>
          </w:hyperlink>
        </w:p>
        <w:p w14:paraId="57646ABA" w14:textId="2D5B578F" w:rsidR="009D26E6" w:rsidRDefault="00E655F7">
          <w:pPr>
            <w:pStyle w:val="TOC3"/>
            <w:tabs>
              <w:tab w:val="right" w:leader="dot" w:pos="9350"/>
            </w:tabs>
            <w:rPr>
              <w:rFonts w:asciiTheme="minorHAnsi" w:eastAsiaTheme="minorEastAsia" w:hAnsiTheme="minorHAnsi"/>
              <w:noProof/>
              <w:color w:val="auto"/>
              <w:sz w:val="22"/>
            </w:rPr>
          </w:pPr>
          <w:hyperlink w:anchor="_Toc78869954" w:history="1">
            <w:r w:rsidR="009D26E6" w:rsidRPr="00673C70">
              <w:rPr>
                <w:rStyle w:val="Hyperlink"/>
                <w:noProof/>
              </w:rPr>
              <w:t>Adopt a Comprehensive Carbon Footprint Accounting</w:t>
            </w:r>
            <w:r w:rsidR="009D26E6">
              <w:rPr>
                <w:noProof/>
                <w:webHidden/>
              </w:rPr>
              <w:tab/>
            </w:r>
            <w:r w:rsidR="009D26E6">
              <w:rPr>
                <w:noProof/>
                <w:webHidden/>
              </w:rPr>
              <w:fldChar w:fldCharType="begin"/>
            </w:r>
            <w:r w:rsidR="009D26E6">
              <w:rPr>
                <w:noProof/>
                <w:webHidden/>
              </w:rPr>
              <w:instrText xml:space="preserve"> PAGEREF _Toc78869954 \h </w:instrText>
            </w:r>
            <w:r w:rsidR="009D26E6">
              <w:rPr>
                <w:noProof/>
                <w:webHidden/>
              </w:rPr>
            </w:r>
            <w:r w:rsidR="009D26E6">
              <w:rPr>
                <w:noProof/>
                <w:webHidden/>
              </w:rPr>
              <w:fldChar w:fldCharType="separate"/>
            </w:r>
            <w:r w:rsidR="009D26E6">
              <w:rPr>
                <w:noProof/>
                <w:webHidden/>
              </w:rPr>
              <w:t>26</w:t>
            </w:r>
            <w:r w:rsidR="009D26E6">
              <w:rPr>
                <w:noProof/>
                <w:webHidden/>
              </w:rPr>
              <w:fldChar w:fldCharType="end"/>
            </w:r>
          </w:hyperlink>
        </w:p>
        <w:p w14:paraId="425F3B09" w14:textId="36863407" w:rsidR="009D26E6" w:rsidRDefault="00E655F7">
          <w:pPr>
            <w:pStyle w:val="TOC3"/>
            <w:tabs>
              <w:tab w:val="right" w:leader="dot" w:pos="9350"/>
            </w:tabs>
            <w:rPr>
              <w:rFonts w:asciiTheme="minorHAnsi" w:eastAsiaTheme="minorEastAsia" w:hAnsiTheme="minorHAnsi"/>
              <w:noProof/>
              <w:color w:val="auto"/>
              <w:sz w:val="22"/>
            </w:rPr>
          </w:pPr>
          <w:hyperlink w:anchor="_Toc78869955" w:history="1">
            <w:r w:rsidR="009D26E6" w:rsidRPr="00673C70">
              <w:rPr>
                <w:rStyle w:val="Hyperlink"/>
                <w:noProof/>
              </w:rPr>
              <w:t>Modify Global Warming Potential for Methane</w:t>
            </w:r>
            <w:r w:rsidR="009D26E6">
              <w:rPr>
                <w:noProof/>
                <w:webHidden/>
              </w:rPr>
              <w:tab/>
            </w:r>
            <w:r w:rsidR="009D26E6">
              <w:rPr>
                <w:noProof/>
                <w:webHidden/>
              </w:rPr>
              <w:fldChar w:fldCharType="begin"/>
            </w:r>
            <w:r w:rsidR="009D26E6">
              <w:rPr>
                <w:noProof/>
                <w:webHidden/>
              </w:rPr>
              <w:instrText xml:space="preserve"> PAGEREF _Toc78869955 \h </w:instrText>
            </w:r>
            <w:r w:rsidR="009D26E6">
              <w:rPr>
                <w:noProof/>
                <w:webHidden/>
              </w:rPr>
            </w:r>
            <w:r w:rsidR="009D26E6">
              <w:rPr>
                <w:noProof/>
                <w:webHidden/>
              </w:rPr>
              <w:fldChar w:fldCharType="separate"/>
            </w:r>
            <w:r w:rsidR="009D26E6">
              <w:rPr>
                <w:noProof/>
                <w:webHidden/>
              </w:rPr>
              <w:t>27</w:t>
            </w:r>
            <w:r w:rsidR="009D26E6">
              <w:rPr>
                <w:noProof/>
                <w:webHidden/>
              </w:rPr>
              <w:fldChar w:fldCharType="end"/>
            </w:r>
          </w:hyperlink>
        </w:p>
        <w:p w14:paraId="5A689D76" w14:textId="4795B02D" w:rsidR="009D26E6" w:rsidRDefault="00E655F7">
          <w:pPr>
            <w:pStyle w:val="TOC3"/>
            <w:tabs>
              <w:tab w:val="right" w:leader="dot" w:pos="9350"/>
            </w:tabs>
            <w:rPr>
              <w:rFonts w:asciiTheme="minorHAnsi" w:eastAsiaTheme="minorEastAsia" w:hAnsiTheme="minorHAnsi"/>
              <w:noProof/>
              <w:color w:val="auto"/>
              <w:sz w:val="22"/>
            </w:rPr>
          </w:pPr>
          <w:hyperlink w:anchor="_Toc78869956" w:history="1">
            <w:r w:rsidR="009D26E6" w:rsidRPr="00673C70">
              <w:rPr>
                <w:rStyle w:val="Hyperlink"/>
                <w:noProof/>
              </w:rPr>
              <w:t>Account for the Upstream Emissions of Purchased Fossil Fuels</w:t>
            </w:r>
            <w:r w:rsidR="009D26E6">
              <w:rPr>
                <w:noProof/>
                <w:webHidden/>
              </w:rPr>
              <w:tab/>
            </w:r>
            <w:r w:rsidR="009D26E6">
              <w:rPr>
                <w:noProof/>
                <w:webHidden/>
              </w:rPr>
              <w:fldChar w:fldCharType="begin"/>
            </w:r>
            <w:r w:rsidR="009D26E6">
              <w:rPr>
                <w:noProof/>
                <w:webHidden/>
              </w:rPr>
              <w:instrText xml:space="preserve"> PAGEREF _Toc78869956 \h </w:instrText>
            </w:r>
            <w:r w:rsidR="009D26E6">
              <w:rPr>
                <w:noProof/>
                <w:webHidden/>
              </w:rPr>
            </w:r>
            <w:r w:rsidR="009D26E6">
              <w:rPr>
                <w:noProof/>
                <w:webHidden/>
              </w:rPr>
              <w:fldChar w:fldCharType="separate"/>
            </w:r>
            <w:r w:rsidR="009D26E6">
              <w:rPr>
                <w:noProof/>
                <w:webHidden/>
              </w:rPr>
              <w:t>27</w:t>
            </w:r>
            <w:r w:rsidR="009D26E6">
              <w:rPr>
                <w:noProof/>
                <w:webHidden/>
              </w:rPr>
              <w:fldChar w:fldCharType="end"/>
            </w:r>
          </w:hyperlink>
        </w:p>
        <w:p w14:paraId="7A6DA5DC" w14:textId="79C2A5FE" w:rsidR="009D26E6" w:rsidRDefault="00E655F7">
          <w:pPr>
            <w:pStyle w:val="TOC3"/>
            <w:tabs>
              <w:tab w:val="right" w:leader="dot" w:pos="9350"/>
            </w:tabs>
            <w:rPr>
              <w:rFonts w:asciiTheme="minorHAnsi" w:eastAsiaTheme="minorEastAsia" w:hAnsiTheme="minorHAnsi"/>
              <w:noProof/>
              <w:color w:val="auto"/>
              <w:sz w:val="22"/>
            </w:rPr>
          </w:pPr>
          <w:hyperlink w:anchor="_Toc78869957" w:history="1">
            <w:r w:rsidR="009D26E6" w:rsidRPr="00673C70">
              <w:rPr>
                <w:rStyle w:val="Hyperlink"/>
                <w:noProof/>
              </w:rPr>
              <w:t>Modify Accounting for Emissions from Regional Electric Grid</w:t>
            </w:r>
            <w:r w:rsidR="009D26E6">
              <w:rPr>
                <w:noProof/>
                <w:webHidden/>
              </w:rPr>
              <w:tab/>
            </w:r>
            <w:r w:rsidR="009D26E6">
              <w:rPr>
                <w:noProof/>
                <w:webHidden/>
              </w:rPr>
              <w:fldChar w:fldCharType="begin"/>
            </w:r>
            <w:r w:rsidR="009D26E6">
              <w:rPr>
                <w:noProof/>
                <w:webHidden/>
              </w:rPr>
              <w:instrText xml:space="preserve"> PAGEREF _Toc78869957 \h </w:instrText>
            </w:r>
            <w:r w:rsidR="009D26E6">
              <w:rPr>
                <w:noProof/>
                <w:webHidden/>
              </w:rPr>
            </w:r>
            <w:r w:rsidR="009D26E6">
              <w:rPr>
                <w:noProof/>
                <w:webHidden/>
              </w:rPr>
              <w:fldChar w:fldCharType="separate"/>
            </w:r>
            <w:r w:rsidR="009D26E6">
              <w:rPr>
                <w:noProof/>
                <w:webHidden/>
              </w:rPr>
              <w:t>28</w:t>
            </w:r>
            <w:r w:rsidR="009D26E6">
              <w:rPr>
                <w:noProof/>
                <w:webHidden/>
              </w:rPr>
              <w:fldChar w:fldCharType="end"/>
            </w:r>
          </w:hyperlink>
        </w:p>
        <w:p w14:paraId="5B80DBA3" w14:textId="00A03E04" w:rsidR="009D26E6" w:rsidRDefault="00E655F7">
          <w:pPr>
            <w:pStyle w:val="TOC3"/>
            <w:tabs>
              <w:tab w:val="right" w:leader="dot" w:pos="9350"/>
            </w:tabs>
            <w:rPr>
              <w:rFonts w:asciiTheme="minorHAnsi" w:eastAsiaTheme="minorEastAsia" w:hAnsiTheme="minorHAnsi"/>
              <w:noProof/>
              <w:color w:val="auto"/>
              <w:sz w:val="22"/>
            </w:rPr>
          </w:pPr>
          <w:hyperlink w:anchor="_Toc78869958" w:history="1">
            <w:r w:rsidR="009D26E6" w:rsidRPr="00673C70">
              <w:rPr>
                <w:rStyle w:val="Hyperlink"/>
                <w:noProof/>
              </w:rPr>
              <w:t>Land Use Carbon Footprint Accounting</w:t>
            </w:r>
            <w:r w:rsidR="009D26E6">
              <w:rPr>
                <w:noProof/>
                <w:webHidden/>
              </w:rPr>
              <w:tab/>
            </w:r>
            <w:r w:rsidR="009D26E6">
              <w:rPr>
                <w:noProof/>
                <w:webHidden/>
              </w:rPr>
              <w:fldChar w:fldCharType="begin"/>
            </w:r>
            <w:r w:rsidR="009D26E6">
              <w:rPr>
                <w:noProof/>
                <w:webHidden/>
              </w:rPr>
              <w:instrText xml:space="preserve"> PAGEREF _Toc78869958 \h </w:instrText>
            </w:r>
            <w:r w:rsidR="009D26E6">
              <w:rPr>
                <w:noProof/>
                <w:webHidden/>
              </w:rPr>
            </w:r>
            <w:r w:rsidR="009D26E6">
              <w:rPr>
                <w:noProof/>
                <w:webHidden/>
              </w:rPr>
              <w:fldChar w:fldCharType="separate"/>
            </w:r>
            <w:r w:rsidR="009D26E6">
              <w:rPr>
                <w:noProof/>
                <w:webHidden/>
              </w:rPr>
              <w:t>28</w:t>
            </w:r>
            <w:r w:rsidR="009D26E6">
              <w:rPr>
                <w:noProof/>
                <w:webHidden/>
              </w:rPr>
              <w:fldChar w:fldCharType="end"/>
            </w:r>
          </w:hyperlink>
        </w:p>
        <w:p w14:paraId="7976D9A6" w14:textId="7B54753A" w:rsidR="009D26E6" w:rsidRDefault="00E655F7">
          <w:pPr>
            <w:pStyle w:val="TOC3"/>
            <w:tabs>
              <w:tab w:val="right" w:leader="dot" w:pos="9350"/>
            </w:tabs>
            <w:rPr>
              <w:rFonts w:asciiTheme="minorHAnsi" w:eastAsiaTheme="minorEastAsia" w:hAnsiTheme="minorHAnsi"/>
              <w:noProof/>
              <w:color w:val="auto"/>
              <w:sz w:val="22"/>
            </w:rPr>
          </w:pPr>
          <w:hyperlink w:anchor="_Toc78869959" w:history="1">
            <w:r w:rsidR="009D26E6" w:rsidRPr="00673C70">
              <w:rPr>
                <w:rStyle w:val="Hyperlink"/>
                <w:noProof/>
              </w:rPr>
              <w:t>Account for Upstream Biofuel Impacts</w:t>
            </w:r>
            <w:r w:rsidR="009D26E6">
              <w:rPr>
                <w:noProof/>
                <w:webHidden/>
              </w:rPr>
              <w:tab/>
            </w:r>
            <w:r w:rsidR="009D26E6">
              <w:rPr>
                <w:noProof/>
                <w:webHidden/>
              </w:rPr>
              <w:fldChar w:fldCharType="begin"/>
            </w:r>
            <w:r w:rsidR="009D26E6">
              <w:rPr>
                <w:noProof/>
                <w:webHidden/>
              </w:rPr>
              <w:instrText xml:space="preserve"> PAGEREF _Toc78869959 \h </w:instrText>
            </w:r>
            <w:r w:rsidR="009D26E6">
              <w:rPr>
                <w:noProof/>
                <w:webHidden/>
              </w:rPr>
            </w:r>
            <w:r w:rsidR="009D26E6">
              <w:rPr>
                <w:noProof/>
                <w:webHidden/>
              </w:rPr>
              <w:fldChar w:fldCharType="separate"/>
            </w:r>
            <w:r w:rsidR="009D26E6">
              <w:rPr>
                <w:noProof/>
                <w:webHidden/>
              </w:rPr>
              <w:t>29</w:t>
            </w:r>
            <w:r w:rsidR="009D26E6">
              <w:rPr>
                <w:noProof/>
                <w:webHidden/>
              </w:rPr>
              <w:fldChar w:fldCharType="end"/>
            </w:r>
          </w:hyperlink>
        </w:p>
        <w:p w14:paraId="5F88A28C" w14:textId="4014A7A1" w:rsidR="009D26E6" w:rsidRDefault="00E655F7">
          <w:pPr>
            <w:pStyle w:val="TOC3"/>
            <w:tabs>
              <w:tab w:val="right" w:leader="dot" w:pos="9350"/>
            </w:tabs>
            <w:rPr>
              <w:rFonts w:asciiTheme="minorHAnsi" w:eastAsiaTheme="minorEastAsia" w:hAnsiTheme="minorHAnsi"/>
              <w:noProof/>
              <w:color w:val="auto"/>
              <w:sz w:val="22"/>
            </w:rPr>
          </w:pPr>
          <w:hyperlink w:anchor="_Toc78869960" w:history="1">
            <w:r w:rsidR="009D26E6" w:rsidRPr="00673C70">
              <w:rPr>
                <w:rStyle w:val="Hyperlink"/>
                <w:noProof/>
              </w:rPr>
              <w:t>Hydropower Upstream GHG Emissions</w:t>
            </w:r>
            <w:r w:rsidR="009D26E6">
              <w:rPr>
                <w:noProof/>
                <w:webHidden/>
              </w:rPr>
              <w:tab/>
            </w:r>
            <w:r w:rsidR="009D26E6">
              <w:rPr>
                <w:noProof/>
                <w:webHidden/>
              </w:rPr>
              <w:fldChar w:fldCharType="begin"/>
            </w:r>
            <w:r w:rsidR="009D26E6">
              <w:rPr>
                <w:noProof/>
                <w:webHidden/>
              </w:rPr>
              <w:instrText xml:space="preserve"> PAGEREF _Toc78869960 \h </w:instrText>
            </w:r>
            <w:r w:rsidR="009D26E6">
              <w:rPr>
                <w:noProof/>
                <w:webHidden/>
              </w:rPr>
            </w:r>
            <w:r w:rsidR="009D26E6">
              <w:rPr>
                <w:noProof/>
                <w:webHidden/>
              </w:rPr>
              <w:fldChar w:fldCharType="separate"/>
            </w:r>
            <w:r w:rsidR="009D26E6">
              <w:rPr>
                <w:noProof/>
                <w:webHidden/>
              </w:rPr>
              <w:t>29</w:t>
            </w:r>
            <w:r w:rsidR="009D26E6">
              <w:rPr>
                <w:noProof/>
                <w:webHidden/>
              </w:rPr>
              <w:fldChar w:fldCharType="end"/>
            </w:r>
          </w:hyperlink>
        </w:p>
        <w:p w14:paraId="17D0CEC5" w14:textId="62756A38" w:rsidR="009D26E6" w:rsidRDefault="00E655F7">
          <w:pPr>
            <w:pStyle w:val="TOC2"/>
            <w:tabs>
              <w:tab w:val="right" w:leader="dot" w:pos="9350"/>
            </w:tabs>
            <w:rPr>
              <w:rFonts w:asciiTheme="minorHAnsi" w:eastAsiaTheme="minorEastAsia" w:hAnsiTheme="minorHAnsi"/>
              <w:noProof/>
              <w:color w:val="auto"/>
              <w:sz w:val="22"/>
            </w:rPr>
          </w:pPr>
          <w:hyperlink w:anchor="_Toc78869961" w:history="1">
            <w:r w:rsidR="009D26E6" w:rsidRPr="00673C70">
              <w:rPr>
                <w:rStyle w:val="Hyperlink"/>
                <w:noProof/>
              </w:rPr>
              <w:t>Opportunities</w:t>
            </w:r>
            <w:r w:rsidR="009D26E6">
              <w:rPr>
                <w:noProof/>
                <w:webHidden/>
              </w:rPr>
              <w:tab/>
            </w:r>
            <w:r w:rsidR="009D26E6">
              <w:rPr>
                <w:noProof/>
                <w:webHidden/>
              </w:rPr>
              <w:fldChar w:fldCharType="begin"/>
            </w:r>
            <w:r w:rsidR="009D26E6">
              <w:rPr>
                <w:noProof/>
                <w:webHidden/>
              </w:rPr>
              <w:instrText xml:space="preserve"> PAGEREF _Toc78869961 \h </w:instrText>
            </w:r>
            <w:r w:rsidR="009D26E6">
              <w:rPr>
                <w:noProof/>
                <w:webHidden/>
              </w:rPr>
            </w:r>
            <w:r w:rsidR="009D26E6">
              <w:rPr>
                <w:noProof/>
                <w:webHidden/>
              </w:rPr>
              <w:fldChar w:fldCharType="separate"/>
            </w:r>
            <w:r w:rsidR="009D26E6">
              <w:rPr>
                <w:noProof/>
                <w:webHidden/>
              </w:rPr>
              <w:t>29</w:t>
            </w:r>
            <w:r w:rsidR="009D26E6">
              <w:rPr>
                <w:noProof/>
                <w:webHidden/>
              </w:rPr>
              <w:fldChar w:fldCharType="end"/>
            </w:r>
          </w:hyperlink>
        </w:p>
        <w:p w14:paraId="40992359" w14:textId="3D087CC7" w:rsidR="009D26E6" w:rsidRDefault="00E655F7">
          <w:pPr>
            <w:pStyle w:val="TOC1"/>
            <w:tabs>
              <w:tab w:val="right" w:leader="dot" w:pos="9350"/>
            </w:tabs>
            <w:rPr>
              <w:rFonts w:asciiTheme="minorHAnsi" w:eastAsiaTheme="minorEastAsia" w:hAnsiTheme="minorHAnsi"/>
              <w:noProof/>
              <w:color w:val="auto"/>
              <w:sz w:val="22"/>
            </w:rPr>
          </w:pPr>
          <w:hyperlink w:anchor="_Toc78869962" w:history="1">
            <w:r w:rsidR="009D26E6" w:rsidRPr="00673C70">
              <w:rPr>
                <w:rStyle w:val="Hyperlink"/>
                <w:noProof/>
              </w:rPr>
              <w:t>Conclusions</w:t>
            </w:r>
            <w:r w:rsidR="009D26E6">
              <w:rPr>
                <w:noProof/>
                <w:webHidden/>
              </w:rPr>
              <w:tab/>
            </w:r>
            <w:r w:rsidR="009D26E6">
              <w:rPr>
                <w:noProof/>
                <w:webHidden/>
              </w:rPr>
              <w:fldChar w:fldCharType="begin"/>
            </w:r>
            <w:r w:rsidR="009D26E6">
              <w:rPr>
                <w:noProof/>
                <w:webHidden/>
              </w:rPr>
              <w:instrText xml:space="preserve"> PAGEREF _Toc78869962 \h </w:instrText>
            </w:r>
            <w:r w:rsidR="009D26E6">
              <w:rPr>
                <w:noProof/>
                <w:webHidden/>
              </w:rPr>
            </w:r>
            <w:r w:rsidR="009D26E6">
              <w:rPr>
                <w:noProof/>
                <w:webHidden/>
              </w:rPr>
              <w:fldChar w:fldCharType="separate"/>
            </w:r>
            <w:r w:rsidR="009D26E6">
              <w:rPr>
                <w:noProof/>
                <w:webHidden/>
              </w:rPr>
              <w:t>30</w:t>
            </w:r>
            <w:r w:rsidR="009D26E6">
              <w:rPr>
                <w:noProof/>
                <w:webHidden/>
              </w:rPr>
              <w:fldChar w:fldCharType="end"/>
            </w:r>
          </w:hyperlink>
        </w:p>
        <w:p w14:paraId="4DEDE79F" w14:textId="3F58DF48" w:rsidR="009D26E6" w:rsidRDefault="00E655F7">
          <w:pPr>
            <w:pStyle w:val="TOC2"/>
            <w:tabs>
              <w:tab w:val="right" w:leader="dot" w:pos="9350"/>
            </w:tabs>
            <w:rPr>
              <w:rFonts w:asciiTheme="minorHAnsi" w:eastAsiaTheme="minorEastAsia" w:hAnsiTheme="minorHAnsi"/>
              <w:noProof/>
              <w:color w:val="auto"/>
              <w:sz w:val="22"/>
            </w:rPr>
          </w:pPr>
          <w:hyperlink w:anchor="_Toc78869963" w:history="1">
            <w:r w:rsidR="009D26E6" w:rsidRPr="00673C70">
              <w:rPr>
                <w:rStyle w:val="Hyperlink"/>
                <w:noProof/>
              </w:rPr>
              <w:t>Key Findings</w:t>
            </w:r>
            <w:r w:rsidR="009D26E6">
              <w:rPr>
                <w:noProof/>
                <w:webHidden/>
              </w:rPr>
              <w:tab/>
            </w:r>
            <w:r w:rsidR="009D26E6">
              <w:rPr>
                <w:noProof/>
                <w:webHidden/>
              </w:rPr>
              <w:fldChar w:fldCharType="begin"/>
            </w:r>
            <w:r w:rsidR="009D26E6">
              <w:rPr>
                <w:noProof/>
                <w:webHidden/>
              </w:rPr>
              <w:instrText xml:space="preserve"> PAGEREF _Toc78869963 \h </w:instrText>
            </w:r>
            <w:r w:rsidR="009D26E6">
              <w:rPr>
                <w:noProof/>
                <w:webHidden/>
              </w:rPr>
            </w:r>
            <w:r w:rsidR="009D26E6">
              <w:rPr>
                <w:noProof/>
                <w:webHidden/>
              </w:rPr>
              <w:fldChar w:fldCharType="separate"/>
            </w:r>
            <w:r w:rsidR="009D26E6">
              <w:rPr>
                <w:noProof/>
                <w:webHidden/>
              </w:rPr>
              <w:t>30</w:t>
            </w:r>
            <w:r w:rsidR="009D26E6">
              <w:rPr>
                <w:noProof/>
                <w:webHidden/>
              </w:rPr>
              <w:fldChar w:fldCharType="end"/>
            </w:r>
          </w:hyperlink>
        </w:p>
        <w:p w14:paraId="3ADB93E2" w14:textId="21866E7E" w:rsidR="009D26E6" w:rsidRDefault="00E655F7">
          <w:pPr>
            <w:pStyle w:val="TOC2"/>
            <w:tabs>
              <w:tab w:val="right" w:leader="dot" w:pos="9350"/>
            </w:tabs>
            <w:rPr>
              <w:rFonts w:asciiTheme="minorHAnsi" w:eastAsiaTheme="minorEastAsia" w:hAnsiTheme="minorHAnsi"/>
              <w:noProof/>
              <w:color w:val="auto"/>
              <w:sz w:val="22"/>
            </w:rPr>
          </w:pPr>
          <w:hyperlink w:anchor="_Toc78869964" w:history="1">
            <w:r w:rsidR="009D26E6" w:rsidRPr="00673C70">
              <w:rPr>
                <w:rStyle w:val="Hyperlink"/>
                <w:noProof/>
              </w:rPr>
              <w:t>Recommendations</w:t>
            </w:r>
            <w:r w:rsidR="009D26E6">
              <w:rPr>
                <w:noProof/>
                <w:webHidden/>
              </w:rPr>
              <w:tab/>
            </w:r>
            <w:r w:rsidR="009D26E6">
              <w:rPr>
                <w:noProof/>
                <w:webHidden/>
              </w:rPr>
              <w:fldChar w:fldCharType="begin"/>
            </w:r>
            <w:r w:rsidR="009D26E6">
              <w:rPr>
                <w:noProof/>
                <w:webHidden/>
              </w:rPr>
              <w:instrText xml:space="preserve"> PAGEREF _Toc78869964 \h </w:instrText>
            </w:r>
            <w:r w:rsidR="009D26E6">
              <w:rPr>
                <w:noProof/>
                <w:webHidden/>
              </w:rPr>
            </w:r>
            <w:r w:rsidR="009D26E6">
              <w:rPr>
                <w:noProof/>
                <w:webHidden/>
              </w:rPr>
              <w:fldChar w:fldCharType="separate"/>
            </w:r>
            <w:r w:rsidR="009D26E6">
              <w:rPr>
                <w:noProof/>
                <w:webHidden/>
              </w:rPr>
              <w:t>31</w:t>
            </w:r>
            <w:r w:rsidR="009D26E6">
              <w:rPr>
                <w:noProof/>
                <w:webHidden/>
              </w:rPr>
              <w:fldChar w:fldCharType="end"/>
            </w:r>
          </w:hyperlink>
        </w:p>
        <w:p w14:paraId="14C505C5" w14:textId="0CE220A6" w:rsidR="009D26E6" w:rsidRDefault="00E655F7">
          <w:pPr>
            <w:pStyle w:val="TOC1"/>
            <w:tabs>
              <w:tab w:val="right" w:leader="dot" w:pos="9350"/>
            </w:tabs>
            <w:rPr>
              <w:rFonts w:asciiTheme="minorHAnsi" w:eastAsiaTheme="minorEastAsia" w:hAnsiTheme="minorHAnsi"/>
              <w:noProof/>
              <w:color w:val="auto"/>
              <w:sz w:val="22"/>
            </w:rPr>
          </w:pPr>
          <w:hyperlink w:anchor="_Toc78869965" w:history="1">
            <w:r w:rsidR="009D26E6" w:rsidRPr="00673C70">
              <w:rPr>
                <w:rStyle w:val="Hyperlink"/>
                <w:noProof/>
              </w:rPr>
              <w:t>Appendices</w:t>
            </w:r>
            <w:r w:rsidR="009D26E6">
              <w:rPr>
                <w:noProof/>
                <w:webHidden/>
              </w:rPr>
              <w:tab/>
            </w:r>
            <w:r w:rsidR="009D26E6">
              <w:rPr>
                <w:noProof/>
                <w:webHidden/>
              </w:rPr>
              <w:fldChar w:fldCharType="begin"/>
            </w:r>
            <w:r w:rsidR="009D26E6">
              <w:rPr>
                <w:noProof/>
                <w:webHidden/>
              </w:rPr>
              <w:instrText xml:space="preserve"> PAGEREF _Toc78869965 \h </w:instrText>
            </w:r>
            <w:r w:rsidR="009D26E6">
              <w:rPr>
                <w:noProof/>
                <w:webHidden/>
              </w:rPr>
            </w:r>
            <w:r w:rsidR="009D26E6">
              <w:rPr>
                <w:noProof/>
                <w:webHidden/>
              </w:rPr>
              <w:fldChar w:fldCharType="separate"/>
            </w:r>
            <w:r w:rsidR="009D26E6">
              <w:rPr>
                <w:noProof/>
                <w:webHidden/>
              </w:rPr>
              <w:t>33</w:t>
            </w:r>
            <w:r w:rsidR="009D26E6">
              <w:rPr>
                <w:noProof/>
                <w:webHidden/>
              </w:rPr>
              <w:fldChar w:fldCharType="end"/>
            </w:r>
          </w:hyperlink>
        </w:p>
        <w:p w14:paraId="657B00AD" w14:textId="7708F18C" w:rsidR="009D26E6" w:rsidRDefault="00E655F7">
          <w:pPr>
            <w:pStyle w:val="TOC2"/>
            <w:tabs>
              <w:tab w:val="left" w:pos="660"/>
              <w:tab w:val="right" w:leader="dot" w:pos="9350"/>
            </w:tabs>
            <w:rPr>
              <w:rFonts w:asciiTheme="minorHAnsi" w:eastAsiaTheme="minorEastAsia" w:hAnsiTheme="minorHAnsi"/>
              <w:noProof/>
              <w:color w:val="auto"/>
              <w:sz w:val="22"/>
            </w:rPr>
          </w:pPr>
          <w:hyperlink w:anchor="_Toc78869966" w:history="1">
            <w:r w:rsidR="009D26E6" w:rsidRPr="00673C70">
              <w:rPr>
                <w:rStyle w:val="Hyperlink"/>
                <w:noProof/>
              </w:rPr>
              <w:t>A.</w:t>
            </w:r>
            <w:r w:rsidR="009D26E6">
              <w:rPr>
                <w:rFonts w:asciiTheme="minorHAnsi" w:eastAsiaTheme="minorEastAsia" w:hAnsiTheme="minorHAnsi"/>
                <w:noProof/>
                <w:color w:val="auto"/>
                <w:sz w:val="22"/>
              </w:rPr>
              <w:tab/>
            </w:r>
            <w:r w:rsidR="009D26E6" w:rsidRPr="00673C70">
              <w:rPr>
                <w:rStyle w:val="Hyperlink"/>
                <w:noProof/>
              </w:rPr>
              <w:t>Vermont Method and Data Summary</w:t>
            </w:r>
            <w:r w:rsidR="009D26E6">
              <w:rPr>
                <w:noProof/>
                <w:webHidden/>
              </w:rPr>
              <w:tab/>
            </w:r>
            <w:r w:rsidR="009D26E6">
              <w:rPr>
                <w:noProof/>
                <w:webHidden/>
              </w:rPr>
              <w:fldChar w:fldCharType="begin"/>
            </w:r>
            <w:r w:rsidR="009D26E6">
              <w:rPr>
                <w:noProof/>
                <w:webHidden/>
              </w:rPr>
              <w:instrText xml:space="preserve"> PAGEREF _Toc78869966 \h </w:instrText>
            </w:r>
            <w:r w:rsidR="009D26E6">
              <w:rPr>
                <w:noProof/>
                <w:webHidden/>
              </w:rPr>
            </w:r>
            <w:r w:rsidR="009D26E6">
              <w:rPr>
                <w:noProof/>
                <w:webHidden/>
              </w:rPr>
              <w:fldChar w:fldCharType="separate"/>
            </w:r>
            <w:r w:rsidR="009D26E6">
              <w:rPr>
                <w:noProof/>
                <w:webHidden/>
              </w:rPr>
              <w:t>33</w:t>
            </w:r>
            <w:r w:rsidR="009D26E6">
              <w:rPr>
                <w:noProof/>
                <w:webHidden/>
              </w:rPr>
              <w:fldChar w:fldCharType="end"/>
            </w:r>
          </w:hyperlink>
        </w:p>
        <w:p w14:paraId="3AD5C9D6" w14:textId="2E998CAB" w:rsidR="009D26E6" w:rsidRDefault="00E655F7">
          <w:pPr>
            <w:pStyle w:val="TOC2"/>
            <w:tabs>
              <w:tab w:val="left" w:pos="660"/>
              <w:tab w:val="right" w:leader="dot" w:pos="9350"/>
            </w:tabs>
            <w:rPr>
              <w:rFonts w:asciiTheme="minorHAnsi" w:eastAsiaTheme="minorEastAsia" w:hAnsiTheme="minorHAnsi"/>
              <w:noProof/>
              <w:color w:val="auto"/>
              <w:sz w:val="22"/>
            </w:rPr>
          </w:pPr>
          <w:hyperlink w:anchor="_Toc78869967" w:history="1">
            <w:r w:rsidR="009D26E6" w:rsidRPr="00673C70">
              <w:rPr>
                <w:rStyle w:val="Hyperlink"/>
                <w:noProof/>
              </w:rPr>
              <w:t>B.</w:t>
            </w:r>
            <w:r w:rsidR="009D26E6">
              <w:rPr>
                <w:rFonts w:asciiTheme="minorHAnsi" w:eastAsiaTheme="minorEastAsia" w:hAnsiTheme="minorHAnsi"/>
                <w:noProof/>
                <w:color w:val="auto"/>
                <w:sz w:val="22"/>
              </w:rPr>
              <w:tab/>
            </w:r>
            <w:r w:rsidR="009D26E6" w:rsidRPr="00673C70">
              <w:rPr>
                <w:rStyle w:val="Hyperlink"/>
                <w:noProof/>
              </w:rPr>
              <w:t>Cross Walk Table</w:t>
            </w:r>
            <w:r w:rsidR="009D26E6">
              <w:rPr>
                <w:noProof/>
                <w:webHidden/>
              </w:rPr>
              <w:tab/>
            </w:r>
            <w:r w:rsidR="009D26E6">
              <w:rPr>
                <w:noProof/>
                <w:webHidden/>
              </w:rPr>
              <w:fldChar w:fldCharType="begin"/>
            </w:r>
            <w:r w:rsidR="009D26E6">
              <w:rPr>
                <w:noProof/>
                <w:webHidden/>
              </w:rPr>
              <w:instrText xml:space="preserve"> PAGEREF _Toc78869967 \h </w:instrText>
            </w:r>
            <w:r w:rsidR="009D26E6">
              <w:rPr>
                <w:noProof/>
                <w:webHidden/>
              </w:rPr>
            </w:r>
            <w:r w:rsidR="009D26E6">
              <w:rPr>
                <w:noProof/>
                <w:webHidden/>
              </w:rPr>
              <w:fldChar w:fldCharType="separate"/>
            </w:r>
            <w:r w:rsidR="009D26E6">
              <w:rPr>
                <w:noProof/>
                <w:webHidden/>
              </w:rPr>
              <w:t>36</w:t>
            </w:r>
            <w:r w:rsidR="009D26E6">
              <w:rPr>
                <w:noProof/>
                <w:webHidden/>
              </w:rPr>
              <w:fldChar w:fldCharType="end"/>
            </w:r>
          </w:hyperlink>
        </w:p>
        <w:p w14:paraId="36ACDA2E" w14:textId="5A7ADF3C" w:rsidR="009D26E6" w:rsidRDefault="00E655F7">
          <w:pPr>
            <w:pStyle w:val="TOC2"/>
            <w:tabs>
              <w:tab w:val="left" w:pos="660"/>
              <w:tab w:val="right" w:leader="dot" w:pos="9350"/>
            </w:tabs>
            <w:rPr>
              <w:rFonts w:asciiTheme="minorHAnsi" w:eastAsiaTheme="minorEastAsia" w:hAnsiTheme="minorHAnsi"/>
              <w:noProof/>
              <w:color w:val="auto"/>
              <w:sz w:val="22"/>
            </w:rPr>
          </w:pPr>
          <w:hyperlink w:anchor="_Toc78869968" w:history="1">
            <w:r w:rsidR="009D26E6" w:rsidRPr="00673C70">
              <w:rPr>
                <w:rStyle w:val="Hyperlink"/>
                <w:noProof/>
              </w:rPr>
              <w:t>C.</w:t>
            </w:r>
            <w:r w:rsidR="009D26E6">
              <w:rPr>
                <w:rFonts w:asciiTheme="minorHAnsi" w:eastAsiaTheme="minorEastAsia" w:hAnsiTheme="minorHAnsi"/>
                <w:noProof/>
                <w:color w:val="auto"/>
                <w:sz w:val="22"/>
              </w:rPr>
              <w:tab/>
            </w:r>
            <w:r w:rsidR="009D26E6" w:rsidRPr="00673C70">
              <w:rPr>
                <w:rStyle w:val="Hyperlink"/>
                <w:noProof/>
              </w:rPr>
              <w:t>Key Category Analysis</w:t>
            </w:r>
            <w:r w:rsidR="009D26E6">
              <w:rPr>
                <w:noProof/>
                <w:webHidden/>
              </w:rPr>
              <w:tab/>
            </w:r>
            <w:r w:rsidR="009D26E6">
              <w:rPr>
                <w:noProof/>
                <w:webHidden/>
              </w:rPr>
              <w:fldChar w:fldCharType="begin"/>
            </w:r>
            <w:r w:rsidR="009D26E6">
              <w:rPr>
                <w:noProof/>
                <w:webHidden/>
              </w:rPr>
              <w:instrText xml:space="preserve"> PAGEREF _Toc78869968 \h </w:instrText>
            </w:r>
            <w:r w:rsidR="009D26E6">
              <w:rPr>
                <w:noProof/>
                <w:webHidden/>
              </w:rPr>
            </w:r>
            <w:r w:rsidR="009D26E6">
              <w:rPr>
                <w:noProof/>
                <w:webHidden/>
              </w:rPr>
              <w:fldChar w:fldCharType="separate"/>
            </w:r>
            <w:r w:rsidR="009D26E6">
              <w:rPr>
                <w:noProof/>
                <w:webHidden/>
              </w:rPr>
              <w:t>44</w:t>
            </w:r>
            <w:r w:rsidR="009D26E6">
              <w:rPr>
                <w:noProof/>
                <w:webHidden/>
              </w:rPr>
              <w:fldChar w:fldCharType="end"/>
            </w:r>
          </w:hyperlink>
        </w:p>
        <w:p w14:paraId="203ADC79" w14:textId="5B7B12BE" w:rsidR="009D26E6" w:rsidRDefault="00E655F7">
          <w:pPr>
            <w:pStyle w:val="TOC2"/>
            <w:tabs>
              <w:tab w:val="left" w:pos="660"/>
              <w:tab w:val="right" w:leader="dot" w:pos="9350"/>
            </w:tabs>
            <w:rPr>
              <w:rFonts w:asciiTheme="minorHAnsi" w:eastAsiaTheme="minorEastAsia" w:hAnsiTheme="minorHAnsi"/>
              <w:noProof/>
              <w:color w:val="auto"/>
              <w:sz w:val="22"/>
            </w:rPr>
          </w:pPr>
          <w:hyperlink w:anchor="_Toc78869969" w:history="1">
            <w:r w:rsidR="009D26E6" w:rsidRPr="00673C70">
              <w:rPr>
                <w:rStyle w:val="Hyperlink"/>
                <w:noProof/>
              </w:rPr>
              <w:t>D.</w:t>
            </w:r>
            <w:r w:rsidR="009D26E6">
              <w:rPr>
                <w:rFonts w:asciiTheme="minorHAnsi" w:eastAsiaTheme="minorEastAsia" w:hAnsiTheme="minorHAnsi"/>
                <w:noProof/>
                <w:color w:val="auto"/>
                <w:sz w:val="22"/>
              </w:rPr>
              <w:tab/>
            </w:r>
            <w:r w:rsidR="009D26E6" w:rsidRPr="00673C70">
              <w:rPr>
                <w:rStyle w:val="Hyperlink"/>
                <w:noProof/>
              </w:rPr>
              <w:t>Select Material from IPCC 2019 Refinement</w:t>
            </w:r>
            <w:r w:rsidR="009D26E6">
              <w:rPr>
                <w:noProof/>
                <w:webHidden/>
              </w:rPr>
              <w:tab/>
            </w:r>
            <w:r w:rsidR="009D26E6">
              <w:rPr>
                <w:noProof/>
                <w:webHidden/>
              </w:rPr>
              <w:fldChar w:fldCharType="begin"/>
            </w:r>
            <w:r w:rsidR="009D26E6">
              <w:rPr>
                <w:noProof/>
                <w:webHidden/>
              </w:rPr>
              <w:instrText xml:space="preserve"> PAGEREF _Toc78869969 \h </w:instrText>
            </w:r>
            <w:r w:rsidR="009D26E6">
              <w:rPr>
                <w:noProof/>
                <w:webHidden/>
              </w:rPr>
            </w:r>
            <w:r w:rsidR="009D26E6">
              <w:rPr>
                <w:noProof/>
                <w:webHidden/>
              </w:rPr>
              <w:fldChar w:fldCharType="separate"/>
            </w:r>
            <w:r w:rsidR="009D26E6">
              <w:rPr>
                <w:noProof/>
                <w:webHidden/>
              </w:rPr>
              <w:t>49</w:t>
            </w:r>
            <w:r w:rsidR="009D26E6">
              <w:rPr>
                <w:noProof/>
                <w:webHidden/>
              </w:rPr>
              <w:fldChar w:fldCharType="end"/>
            </w:r>
          </w:hyperlink>
        </w:p>
        <w:p w14:paraId="0D28C58F" w14:textId="365110F9" w:rsidR="009D26E6" w:rsidRDefault="00E655F7">
          <w:pPr>
            <w:pStyle w:val="TOC2"/>
            <w:tabs>
              <w:tab w:val="left" w:pos="660"/>
              <w:tab w:val="right" w:leader="dot" w:pos="9350"/>
            </w:tabs>
            <w:rPr>
              <w:rFonts w:asciiTheme="minorHAnsi" w:eastAsiaTheme="minorEastAsia" w:hAnsiTheme="minorHAnsi"/>
              <w:noProof/>
              <w:color w:val="auto"/>
              <w:sz w:val="22"/>
            </w:rPr>
          </w:pPr>
          <w:hyperlink w:anchor="_Toc78869970" w:history="1">
            <w:r w:rsidR="009D26E6" w:rsidRPr="00673C70">
              <w:rPr>
                <w:rStyle w:val="Hyperlink"/>
                <w:noProof/>
              </w:rPr>
              <w:t>E.</w:t>
            </w:r>
            <w:r w:rsidR="009D26E6">
              <w:rPr>
                <w:rFonts w:asciiTheme="minorHAnsi" w:eastAsiaTheme="minorEastAsia" w:hAnsiTheme="minorHAnsi"/>
                <w:noProof/>
                <w:color w:val="auto"/>
                <w:sz w:val="22"/>
              </w:rPr>
              <w:tab/>
            </w:r>
            <w:r w:rsidR="009D26E6" w:rsidRPr="00673C70">
              <w:rPr>
                <w:rStyle w:val="Hyperlink"/>
                <w:noProof/>
              </w:rPr>
              <w:t>An Open Letter to the Vermont Climate Council</w:t>
            </w:r>
            <w:r w:rsidR="009D26E6">
              <w:rPr>
                <w:noProof/>
                <w:webHidden/>
              </w:rPr>
              <w:tab/>
            </w:r>
            <w:r w:rsidR="009D26E6">
              <w:rPr>
                <w:noProof/>
                <w:webHidden/>
              </w:rPr>
              <w:fldChar w:fldCharType="begin"/>
            </w:r>
            <w:r w:rsidR="009D26E6">
              <w:rPr>
                <w:noProof/>
                <w:webHidden/>
              </w:rPr>
              <w:instrText xml:space="preserve"> PAGEREF _Toc78869970 \h </w:instrText>
            </w:r>
            <w:r w:rsidR="009D26E6">
              <w:rPr>
                <w:noProof/>
                <w:webHidden/>
              </w:rPr>
            </w:r>
            <w:r w:rsidR="009D26E6">
              <w:rPr>
                <w:noProof/>
                <w:webHidden/>
              </w:rPr>
              <w:fldChar w:fldCharType="separate"/>
            </w:r>
            <w:r w:rsidR="009D26E6">
              <w:rPr>
                <w:noProof/>
                <w:webHidden/>
              </w:rPr>
              <w:t>51</w:t>
            </w:r>
            <w:r w:rsidR="009D26E6">
              <w:rPr>
                <w:noProof/>
                <w:webHidden/>
              </w:rPr>
              <w:fldChar w:fldCharType="end"/>
            </w:r>
          </w:hyperlink>
        </w:p>
        <w:p w14:paraId="2E75B3D1" w14:textId="702FA9E1" w:rsidR="00514707" w:rsidRDefault="00514707">
          <w:r>
            <w:rPr>
              <w:b/>
              <w:bCs/>
              <w:noProof/>
            </w:rPr>
            <w:fldChar w:fldCharType="end"/>
          </w:r>
        </w:p>
      </w:sdtContent>
    </w:sdt>
    <w:p w14:paraId="4432A587" w14:textId="77777777" w:rsidR="00514707" w:rsidRDefault="00514707">
      <w:pPr>
        <w:spacing w:after="160" w:line="259" w:lineRule="auto"/>
        <w:rPr>
          <w:rFonts w:asciiTheme="majorHAnsi" w:eastAsiaTheme="majorEastAsia" w:hAnsiTheme="majorHAnsi" w:cstheme="majorBidi"/>
          <w:b/>
          <w:color w:val="003F5F" w:themeColor="text2"/>
          <w:sz w:val="32"/>
          <w:szCs w:val="32"/>
        </w:rPr>
      </w:pPr>
      <w:r>
        <w:br w:type="page"/>
      </w:r>
    </w:p>
    <w:p w14:paraId="13180829" w14:textId="46A73A6C" w:rsidR="00514707" w:rsidRDefault="00514707" w:rsidP="00805C9C">
      <w:pPr>
        <w:pStyle w:val="Heading1"/>
      </w:pPr>
      <w:bookmarkStart w:id="0" w:name="_Toc78869926"/>
      <w:bookmarkStart w:id="1" w:name="_Hlk948137"/>
      <w:r>
        <w:lastRenderedPageBreak/>
        <w:t>About the Authors</w:t>
      </w:r>
      <w:bookmarkEnd w:id="0"/>
    </w:p>
    <w:p w14:paraId="6F8BDB6C" w14:textId="55D019FE" w:rsidR="004F6F81" w:rsidRDefault="004F6F81" w:rsidP="004F6F81">
      <w:r>
        <w:t xml:space="preserve">Energy Futures Group (EFG) is a clean energy consulting firm based in Hinesburg, Vermont and with offices in Boston and New York.  EFG specializes in the design, implementation and evaluation of programs and policies to promote investments in </w:t>
      </w:r>
      <w:r w:rsidR="00D02995">
        <w:t xml:space="preserve">energy </w:t>
      </w:r>
      <w:r>
        <w:t>efficiency, renewable energy, other distributed resources</w:t>
      </w:r>
      <w:r w:rsidR="00323FE4">
        <w:t>,</w:t>
      </w:r>
      <w:r>
        <w:t xml:space="preserve"> and strategic electrification.  EFG staff have worked on these issues on behalf of energy regulators, other government agencies, utilities and advocacy organizations across the United States, Canada, Europe, and China. </w:t>
      </w:r>
    </w:p>
    <w:bookmarkEnd w:id="1"/>
    <w:p w14:paraId="1AD2FDBC" w14:textId="5961F433" w:rsidR="00D714F8" w:rsidRDefault="00860763" w:rsidP="00D714F8">
      <w:r w:rsidRPr="00D714F8">
        <w:rPr>
          <w:b/>
        </w:rPr>
        <w:t>David Hill</w:t>
      </w:r>
      <w:r w:rsidRPr="00D714F8">
        <w:t xml:space="preserve"> is a Managing Consultant</w:t>
      </w:r>
      <w:r>
        <w:t xml:space="preserve"> </w:t>
      </w:r>
      <w:r w:rsidR="00D714F8">
        <w:rPr>
          <w:bCs/>
        </w:rPr>
        <w:t>who joined</w:t>
      </w:r>
      <w:r w:rsidRPr="00D714F8">
        <w:t xml:space="preserve"> EFG</w:t>
      </w:r>
      <w:r w:rsidR="00DE692E">
        <w:rPr>
          <w:b/>
        </w:rPr>
        <w:t xml:space="preserve"> </w:t>
      </w:r>
      <w:r w:rsidRPr="00860763">
        <w:t xml:space="preserve">in early 2020, after 22 years of employment with VEIC. He is known nationally for his advancement of sustainable energy program design and </w:t>
      </w:r>
      <w:r w:rsidR="00FE5F61">
        <w:t>implementation support</w:t>
      </w:r>
      <w:r w:rsidRPr="00860763">
        <w:t xml:space="preserve">, </w:t>
      </w:r>
      <w:r w:rsidR="00D07C67">
        <w:t xml:space="preserve">scenario modeling for clean energy futures, </w:t>
      </w:r>
      <w:r w:rsidRPr="00860763">
        <w:t xml:space="preserve">and renewable energy policy. </w:t>
      </w:r>
    </w:p>
    <w:p w14:paraId="2B5CDF67" w14:textId="77777777" w:rsidR="00DA2E32" w:rsidRDefault="00DA2E32" w:rsidP="00DA2E32">
      <w:r w:rsidRPr="00AD19EB">
        <w:rPr>
          <w:b/>
          <w:bCs/>
        </w:rPr>
        <w:t>Liz Bourguet</w:t>
      </w:r>
      <w:r w:rsidRPr="003E0377">
        <w:t xml:space="preserve"> is a Senior Analyst </w:t>
      </w:r>
      <w:r>
        <w:t>at</w:t>
      </w:r>
      <w:r w:rsidRPr="003E0377">
        <w:t xml:space="preserve"> EFG </w:t>
      </w:r>
      <w:r>
        <w:t xml:space="preserve">who </w:t>
      </w:r>
      <w:r w:rsidRPr="003E0377">
        <w:t>joined EFG in 2020 after graduating from the Yale School of Forestry and Environmental Studies with a Master of Environmental Management</w:t>
      </w:r>
      <w:r>
        <w:t xml:space="preserve"> degree and who focuses on energy </w:t>
      </w:r>
      <w:r w:rsidRPr="003E0377">
        <w:t>policy analysis</w:t>
      </w:r>
      <w:r>
        <w:t xml:space="preserve"> and climate change mitigation strategies.</w:t>
      </w:r>
    </w:p>
    <w:p w14:paraId="24F33E8C" w14:textId="77777777" w:rsidR="00D714F8" w:rsidRPr="00D714F8" w:rsidRDefault="00F85E3B" w:rsidP="00D714F8">
      <w:r w:rsidRPr="00D714F8">
        <w:rPr>
          <w:b/>
          <w:bCs/>
        </w:rPr>
        <w:t>Gabrielle Stebbins</w:t>
      </w:r>
      <w:r>
        <w:t xml:space="preserve"> is a Senior Consultant </w:t>
      </w:r>
      <w:r w:rsidR="00F57AFF">
        <w:t>at</w:t>
      </w:r>
      <w:r>
        <w:t xml:space="preserve"> EFG</w:t>
      </w:r>
      <w:r w:rsidR="0038544B">
        <w:t xml:space="preserve"> </w:t>
      </w:r>
      <w:r w:rsidR="00D714F8">
        <w:t xml:space="preserve">and </w:t>
      </w:r>
      <w:r w:rsidR="00D714F8" w:rsidRPr="00CE36BE">
        <w:t>specializes in the development of policy and programs for promotion of renewable energy, strategic electrification and energy efficiency, with a special focus on efforts to integrate all three.</w:t>
      </w:r>
    </w:p>
    <w:p w14:paraId="092D91CB" w14:textId="5BF7D8B5" w:rsidR="00860763" w:rsidRPr="00D714F8" w:rsidRDefault="0017141A" w:rsidP="00D714F8">
      <w:r w:rsidRPr="00D714F8">
        <w:rPr>
          <w:b/>
        </w:rPr>
        <w:t>Chris Neme</w:t>
      </w:r>
      <w:r w:rsidRPr="0017141A">
        <w:t xml:space="preserve"> is a Principal and Co-Founder </w:t>
      </w:r>
      <w:r w:rsidRPr="00D714F8">
        <w:t xml:space="preserve">of </w:t>
      </w:r>
      <w:r w:rsidR="00C37436" w:rsidRPr="00D714F8">
        <w:t>EFG</w:t>
      </w:r>
      <w:r w:rsidR="00502B01" w:rsidRPr="00D714F8">
        <w:t>.</w:t>
      </w:r>
      <w:r w:rsidRPr="0017141A">
        <w:t xml:space="preserve"> During his more than 25 years in the industry, Chris has helped clients in 30+ states, 7 Canadian provinces and several European countries with a variety of energy efficiency, demand response, strategic electrification and other distributed energy resource market assessments, programs and policies.  </w:t>
      </w:r>
    </w:p>
    <w:p w14:paraId="4F9E1B66" w14:textId="7B51E45F" w:rsidR="009668F1" w:rsidRDefault="009668F1" w:rsidP="009668F1">
      <w:pPr>
        <w:pStyle w:val="Heading1"/>
      </w:pPr>
      <w:bookmarkStart w:id="2" w:name="_Toc78869927"/>
      <w:r>
        <w:t>Acknowledgements</w:t>
      </w:r>
      <w:bookmarkEnd w:id="2"/>
    </w:p>
    <w:p w14:paraId="755FB57B" w14:textId="433DD587" w:rsidR="00C7058D" w:rsidRDefault="00BF7FBD">
      <w:pPr>
        <w:spacing w:after="160" w:line="259" w:lineRule="auto"/>
        <w:rPr>
          <w:rFonts w:asciiTheme="majorHAnsi" w:eastAsiaTheme="majorEastAsia" w:hAnsiTheme="majorHAnsi" w:cstheme="majorBidi"/>
          <w:b/>
          <w:color w:val="003F5F" w:themeColor="text2"/>
          <w:sz w:val="32"/>
          <w:szCs w:val="32"/>
        </w:rPr>
      </w:pPr>
      <w:r>
        <w:t xml:space="preserve">The EFG team would like to thank members of the Vermont Climate Council, its subcommittees and task leaders, members of the public, and the private and public sector employees for numerous organizations for their contributions and concern on the topic of climate change and Vermont’s Greenhouse Gas Inventory.  We would also like to thank our colleagues at the Cadmus Group, the University of Vermont, and others working as part of the technical consultant team under contract to the Agency of Natural Resources.  We deeply appreciate the project management and oversight provided by the Agency of Natural Resources and their efforts to move the complex process of developing a Climate Action Plan forward in a timely, constructive, engaging, and inclusive fashion.  The Agency staff who have worked on Vermont’s recent and historic inventory methods and reports are to be commended for their work and attention to detail.  Our work on the Greenhouse Gas Inventory draws upon and has benefited greatly from the work of countless others from institutions and organizations in Vermont and </w:t>
      </w:r>
      <w:r>
        <w:lastRenderedPageBreak/>
        <w:t xml:space="preserve">from around the globe.  We are hopeful that our collective efforts will help Vermont demonstrate leadership in addressing the challenges and opportunities posed by climate change in just, equitable, proactive, and inspiring fashion.  Any errors or omissions in this report are the responsibility of the EFG team authors </w:t>
      </w:r>
      <w:r w:rsidR="00C7058D">
        <w:br w:type="page"/>
      </w:r>
    </w:p>
    <w:p w14:paraId="62AC3BBC" w14:textId="77777777" w:rsidR="006B7DD7" w:rsidRDefault="006B7DD7" w:rsidP="006B7DD7">
      <w:pPr>
        <w:pStyle w:val="Heading1"/>
      </w:pPr>
      <w:bookmarkStart w:id="3" w:name="_Toc78869928"/>
      <w:r>
        <w:lastRenderedPageBreak/>
        <w:t xml:space="preserve">Acronyms </w:t>
      </w:r>
      <w:r w:rsidR="000858FB">
        <w:t>&amp; Abbreviations</w:t>
      </w:r>
      <w:bookmarkEnd w:id="3"/>
    </w:p>
    <w:tbl>
      <w:tblPr>
        <w:tblStyle w:val="PlainTable3"/>
        <w:tblpPr w:leftFromText="180" w:rightFromText="180" w:vertAnchor="text" w:horzAnchor="margin" w:tblpY="461"/>
        <w:tblW w:w="0" w:type="auto"/>
        <w:tblLook w:val="04A0" w:firstRow="1" w:lastRow="0" w:firstColumn="1" w:lastColumn="0" w:noHBand="0" w:noVBand="1"/>
      </w:tblPr>
      <w:tblGrid>
        <w:gridCol w:w="2198"/>
        <w:gridCol w:w="6587"/>
      </w:tblGrid>
      <w:tr w:rsidR="0053443C" w14:paraId="48E8AA79" w14:textId="77777777" w:rsidTr="00BF70FC">
        <w:trPr>
          <w:cnfStyle w:val="100000000000" w:firstRow="1" w:lastRow="0" w:firstColumn="0" w:lastColumn="0" w:oddVBand="0" w:evenVBand="0" w:oddHBand="0" w:evenHBand="0" w:firstRowFirstColumn="0" w:firstRowLastColumn="0" w:lastRowFirstColumn="0" w:lastRowLastColumn="0"/>
          <w:trHeight w:hRule="exact" w:val="330"/>
        </w:trPr>
        <w:tc>
          <w:tcPr>
            <w:cnfStyle w:val="001000000100" w:firstRow="0" w:lastRow="0" w:firstColumn="1" w:lastColumn="0" w:oddVBand="0" w:evenVBand="0" w:oddHBand="0" w:evenHBand="0" w:firstRowFirstColumn="1" w:firstRowLastColumn="0" w:lastRowFirstColumn="0" w:lastRowLastColumn="0"/>
            <w:tcW w:w="2198" w:type="dxa"/>
          </w:tcPr>
          <w:p w14:paraId="3D7F0D77" w14:textId="0F1685E5" w:rsidR="0053443C" w:rsidRDefault="0053443C" w:rsidP="001C743C">
            <w:pPr>
              <w:pStyle w:val="BodyText"/>
              <w:framePr w:hSpace="0" w:wrap="auto" w:vAnchor="margin" w:hAnchor="text" w:yAlign="inline"/>
            </w:pPr>
          </w:p>
        </w:tc>
        <w:tc>
          <w:tcPr>
            <w:tcW w:w="6587" w:type="dxa"/>
          </w:tcPr>
          <w:p w14:paraId="4E345689" w14:textId="0055B212" w:rsidR="0053443C" w:rsidRDefault="0053443C" w:rsidP="001C743C">
            <w:pPr>
              <w:pStyle w:val="BodyText"/>
              <w:framePr w:hSpace="0" w:wrap="auto" w:vAnchor="margin" w:hAnchor="text" w:yAlign="inline"/>
              <w:cnfStyle w:val="100000000000" w:firstRow="1" w:lastRow="0" w:firstColumn="0" w:lastColumn="0" w:oddVBand="0" w:evenVBand="0" w:oddHBand="0" w:evenHBand="0" w:firstRowFirstColumn="0" w:firstRowLastColumn="0" w:lastRowFirstColumn="0" w:lastRowLastColumn="0"/>
            </w:pPr>
          </w:p>
        </w:tc>
      </w:tr>
      <w:tr w:rsidR="001C743C" w14:paraId="41F178D9" w14:textId="77777777" w:rsidTr="00BF70FC">
        <w:trPr>
          <w:cnfStyle w:val="000000100000" w:firstRow="0" w:lastRow="0" w:firstColumn="0" w:lastColumn="0" w:oddVBand="0" w:evenVBand="0" w:oddHBand="1" w:evenHBand="0" w:firstRowFirstColumn="0" w:firstRowLastColumn="0" w:lastRowFirstColumn="0" w:lastRowLastColumn="0"/>
          <w:trHeight w:hRule="exact" w:val="330"/>
        </w:trPr>
        <w:tc>
          <w:tcPr>
            <w:cnfStyle w:val="001000000000" w:firstRow="0" w:lastRow="0" w:firstColumn="1" w:lastColumn="0" w:oddVBand="0" w:evenVBand="0" w:oddHBand="0" w:evenHBand="0" w:firstRowFirstColumn="0" w:firstRowLastColumn="0" w:lastRowFirstColumn="0" w:lastRowLastColumn="0"/>
            <w:tcW w:w="2198" w:type="dxa"/>
          </w:tcPr>
          <w:p w14:paraId="201B0C0D" w14:textId="69FA9FA9" w:rsidR="001C743C" w:rsidRDefault="001C743C" w:rsidP="001C743C">
            <w:pPr>
              <w:pStyle w:val="BodyText"/>
              <w:framePr w:hSpace="0" w:wrap="auto" w:vAnchor="margin" w:hAnchor="text" w:yAlign="inline"/>
            </w:pPr>
            <w:r>
              <w:t>ANR</w:t>
            </w:r>
          </w:p>
        </w:tc>
        <w:tc>
          <w:tcPr>
            <w:tcW w:w="6587" w:type="dxa"/>
          </w:tcPr>
          <w:p w14:paraId="48AA2244" w14:textId="4ECBF64D"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Vermont Agency of Natural Resources</w:t>
            </w:r>
          </w:p>
        </w:tc>
      </w:tr>
      <w:tr w:rsidR="001C743C" w14:paraId="49005FE7" w14:textId="77777777" w:rsidTr="00BF70FC">
        <w:trPr>
          <w:trHeight w:hRule="exact" w:val="330"/>
        </w:trPr>
        <w:tc>
          <w:tcPr>
            <w:cnfStyle w:val="001000000000" w:firstRow="0" w:lastRow="0" w:firstColumn="1" w:lastColumn="0" w:oddVBand="0" w:evenVBand="0" w:oddHBand="0" w:evenHBand="0" w:firstRowFirstColumn="0" w:firstRowLastColumn="0" w:lastRowFirstColumn="0" w:lastRowLastColumn="0"/>
            <w:tcW w:w="2198" w:type="dxa"/>
          </w:tcPr>
          <w:p w14:paraId="32E7D634" w14:textId="7B264831" w:rsidR="001C743C" w:rsidRDefault="001C743C" w:rsidP="001C743C">
            <w:pPr>
              <w:pStyle w:val="BodyText"/>
              <w:framePr w:hSpace="0" w:wrap="auto" w:vAnchor="margin" w:hAnchor="text" w:yAlign="inline"/>
            </w:pPr>
            <w:r>
              <w:t>AR4</w:t>
            </w:r>
          </w:p>
        </w:tc>
        <w:tc>
          <w:tcPr>
            <w:tcW w:w="6587" w:type="dxa"/>
          </w:tcPr>
          <w:p w14:paraId="031147E9" w14:textId="36047B86"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IPCC Fourth Assessment Report</w:t>
            </w:r>
          </w:p>
        </w:tc>
      </w:tr>
      <w:tr w:rsidR="001C743C" w14:paraId="4A250E09" w14:textId="77777777" w:rsidTr="00BF70FC">
        <w:trPr>
          <w:cnfStyle w:val="000000100000" w:firstRow="0" w:lastRow="0" w:firstColumn="0" w:lastColumn="0" w:oddVBand="0" w:evenVBand="0" w:oddHBand="1" w:evenHBand="0" w:firstRowFirstColumn="0" w:firstRowLastColumn="0" w:lastRowFirstColumn="0" w:lastRowLastColumn="0"/>
          <w:trHeight w:hRule="exact" w:val="330"/>
        </w:trPr>
        <w:tc>
          <w:tcPr>
            <w:cnfStyle w:val="001000000000" w:firstRow="0" w:lastRow="0" w:firstColumn="1" w:lastColumn="0" w:oddVBand="0" w:evenVBand="0" w:oddHBand="0" w:evenHBand="0" w:firstRowFirstColumn="0" w:firstRowLastColumn="0" w:lastRowFirstColumn="0" w:lastRowLastColumn="0"/>
            <w:tcW w:w="2198" w:type="dxa"/>
          </w:tcPr>
          <w:p w14:paraId="7C4987AB" w14:textId="4378CD33" w:rsidR="001C743C" w:rsidRDefault="001C743C" w:rsidP="001C743C">
            <w:pPr>
              <w:pStyle w:val="BodyText"/>
              <w:framePr w:hSpace="0" w:wrap="auto" w:vAnchor="margin" w:hAnchor="text" w:yAlign="inline"/>
            </w:pPr>
            <w:r>
              <w:t>AR5</w:t>
            </w:r>
          </w:p>
        </w:tc>
        <w:tc>
          <w:tcPr>
            <w:tcW w:w="6587" w:type="dxa"/>
          </w:tcPr>
          <w:p w14:paraId="2BE6A3C2" w14:textId="62FB9BBB"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IPCC Fifth Assessment Report</w:t>
            </w:r>
          </w:p>
        </w:tc>
      </w:tr>
      <w:tr w:rsidR="001C743C" w14:paraId="7E422860" w14:textId="77777777" w:rsidTr="00BF70FC">
        <w:trPr>
          <w:trHeight w:hRule="exact" w:val="330"/>
        </w:trPr>
        <w:tc>
          <w:tcPr>
            <w:cnfStyle w:val="001000000000" w:firstRow="0" w:lastRow="0" w:firstColumn="1" w:lastColumn="0" w:oddVBand="0" w:evenVBand="0" w:oddHBand="0" w:evenHBand="0" w:firstRowFirstColumn="0" w:firstRowLastColumn="0" w:lastRowFirstColumn="0" w:lastRowLastColumn="0"/>
            <w:tcW w:w="2198" w:type="dxa"/>
          </w:tcPr>
          <w:p w14:paraId="7EE02877" w14:textId="6399FAE3" w:rsidR="001C743C" w:rsidRDefault="001C743C" w:rsidP="001C743C">
            <w:pPr>
              <w:pStyle w:val="BodyText"/>
              <w:framePr w:hSpace="0" w:wrap="auto" w:vAnchor="margin" w:hAnchor="text" w:yAlign="inline"/>
            </w:pPr>
            <w:r>
              <w:t>CAP</w:t>
            </w:r>
          </w:p>
        </w:tc>
        <w:tc>
          <w:tcPr>
            <w:tcW w:w="6587" w:type="dxa"/>
          </w:tcPr>
          <w:p w14:paraId="787D696B" w14:textId="68DF3641"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Climate action plan</w:t>
            </w:r>
          </w:p>
        </w:tc>
      </w:tr>
      <w:tr w:rsidR="001C743C" w14:paraId="6071AC69" w14:textId="77777777" w:rsidTr="00BF70FC">
        <w:trPr>
          <w:cnfStyle w:val="000000100000" w:firstRow="0" w:lastRow="0" w:firstColumn="0" w:lastColumn="0" w:oddVBand="0" w:evenVBand="0" w:oddHBand="1" w:evenHBand="0" w:firstRowFirstColumn="0" w:firstRowLastColumn="0" w:lastRowFirstColumn="0" w:lastRowLastColumn="0"/>
          <w:trHeight w:hRule="exact" w:val="330"/>
        </w:trPr>
        <w:tc>
          <w:tcPr>
            <w:cnfStyle w:val="001000000000" w:firstRow="0" w:lastRow="0" w:firstColumn="1" w:lastColumn="0" w:oddVBand="0" w:evenVBand="0" w:oddHBand="0" w:evenHBand="0" w:firstRowFirstColumn="0" w:firstRowLastColumn="0" w:lastRowFirstColumn="0" w:lastRowLastColumn="0"/>
            <w:tcW w:w="2198" w:type="dxa"/>
          </w:tcPr>
          <w:p w14:paraId="26143535" w14:textId="3E9A810F" w:rsidR="001C743C" w:rsidRDefault="001C743C" w:rsidP="001C743C">
            <w:pPr>
              <w:pStyle w:val="BodyText"/>
              <w:framePr w:hSpace="0" w:wrap="auto" w:vAnchor="margin" w:hAnchor="text" w:yAlign="inline"/>
            </w:pPr>
            <w:r>
              <w:t>CBEI</w:t>
            </w:r>
          </w:p>
        </w:tc>
        <w:tc>
          <w:tcPr>
            <w:tcW w:w="6587" w:type="dxa"/>
          </w:tcPr>
          <w:p w14:paraId="7049F610" w14:textId="2422AE14"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 xml:space="preserve">Consumption-based emissions inventory </w:t>
            </w:r>
          </w:p>
        </w:tc>
      </w:tr>
      <w:tr w:rsidR="001C743C" w14:paraId="5CCB671B" w14:textId="77777777" w:rsidTr="00BF70FC">
        <w:trPr>
          <w:trHeight w:hRule="exact" w:val="330"/>
        </w:trPr>
        <w:tc>
          <w:tcPr>
            <w:cnfStyle w:val="001000000000" w:firstRow="0" w:lastRow="0" w:firstColumn="1" w:lastColumn="0" w:oddVBand="0" w:evenVBand="0" w:oddHBand="0" w:evenHBand="0" w:firstRowFirstColumn="0" w:firstRowLastColumn="0" w:lastRowFirstColumn="0" w:lastRowLastColumn="0"/>
            <w:tcW w:w="2198" w:type="dxa"/>
          </w:tcPr>
          <w:p w14:paraId="289FA0C5" w14:textId="77777777" w:rsidR="001C743C" w:rsidRDefault="001C743C" w:rsidP="001C743C">
            <w:pPr>
              <w:pStyle w:val="BodyText"/>
              <w:framePr w:hSpace="0" w:wrap="auto" w:vAnchor="margin" w:hAnchor="text" w:yAlign="inline"/>
            </w:pPr>
            <w:r>
              <w:t>CH4</w:t>
            </w:r>
          </w:p>
        </w:tc>
        <w:tc>
          <w:tcPr>
            <w:tcW w:w="6587" w:type="dxa"/>
          </w:tcPr>
          <w:p w14:paraId="0EE75C44"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Methane</w:t>
            </w:r>
          </w:p>
        </w:tc>
      </w:tr>
      <w:tr w:rsidR="001C743C" w14:paraId="2BEB9A8D"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023F5ED0" w14:textId="77777777" w:rsidR="001C743C" w:rsidRDefault="001C743C" w:rsidP="001C743C">
            <w:pPr>
              <w:pStyle w:val="BodyText"/>
              <w:framePr w:hSpace="0" w:wrap="auto" w:vAnchor="margin" w:hAnchor="text" w:yAlign="inline"/>
            </w:pPr>
            <w:r>
              <w:t>CO2</w:t>
            </w:r>
          </w:p>
        </w:tc>
        <w:tc>
          <w:tcPr>
            <w:tcW w:w="6587" w:type="dxa"/>
          </w:tcPr>
          <w:p w14:paraId="54250988" w14:textId="77777777"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Carbon dioxide</w:t>
            </w:r>
          </w:p>
        </w:tc>
      </w:tr>
      <w:tr w:rsidR="001C743C" w14:paraId="65A641BF"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4AC7F861" w14:textId="5DA969D9" w:rsidR="001C743C" w:rsidRDefault="001C743C" w:rsidP="001C743C">
            <w:pPr>
              <w:pStyle w:val="BodyText"/>
              <w:framePr w:hSpace="0" w:wrap="auto" w:vAnchor="margin" w:hAnchor="text" w:yAlign="inline"/>
            </w:pPr>
            <w:r>
              <w:t>CO2e</w:t>
            </w:r>
          </w:p>
        </w:tc>
        <w:tc>
          <w:tcPr>
            <w:tcW w:w="6587" w:type="dxa"/>
          </w:tcPr>
          <w:p w14:paraId="74907A07" w14:textId="474E8133"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Carbon dioxide equivalent</w:t>
            </w:r>
          </w:p>
        </w:tc>
      </w:tr>
      <w:tr w:rsidR="001C743C" w14:paraId="19F7E870"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0894CC2C" w14:textId="3FD77825" w:rsidR="001C743C" w:rsidRDefault="001C743C" w:rsidP="001C743C">
            <w:pPr>
              <w:pStyle w:val="BodyText"/>
              <w:framePr w:hSpace="0" w:wrap="auto" w:vAnchor="margin" w:hAnchor="text" w:yAlign="inline"/>
            </w:pPr>
            <w:r>
              <w:t>DEC</w:t>
            </w:r>
          </w:p>
        </w:tc>
        <w:tc>
          <w:tcPr>
            <w:tcW w:w="6587" w:type="dxa"/>
          </w:tcPr>
          <w:p w14:paraId="4F696942" w14:textId="4828F796"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Department of Environmental Conservation</w:t>
            </w:r>
          </w:p>
        </w:tc>
      </w:tr>
      <w:tr w:rsidR="001C743C" w14:paraId="2B1BFF8F"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0D0B43D6" w14:textId="725712DC" w:rsidR="001C743C" w:rsidRDefault="001C743C" w:rsidP="001C743C">
            <w:pPr>
              <w:pStyle w:val="BodyText"/>
              <w:framePr w:hSpace="0" w:wrap="auto" w:vAnchor="margin" w:hAnchor="text" w:yAlign="inline"/>
            </w:pPr>
            <w:r>
              <w:t>EFG</w:t>
            </w:r>
          </w:p>
        </w:tc>
        <w:tc>
          <w:tcPr>
            <w:tcW w:w="6587" w:type="dxa"/>
          </w:tcPr>
          <w:p w14:paraId="04361DA5" w14:textId="1A722C35"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Energy Futures Group</w:t>
            </w:r>
          </w:p>
        </w:tc>
      </w:tr>
      <w:tr w:rsidR="001C743C" w14:paraId="46A79C29"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7225FA64" w14:textId="2879C28D" w:rsidR="001C743C" w:rsidRDefault="001C743C" w:rsidP="001C743C">
            <w:pPr>
              <w:pStyle w:val="BodyText"/>
              <w:framePr w:hSpace="0" w:wrap="auto" w:vAnchor="margin" w:hAnchor="text" w:yAlign="inline"/>
            </w:pPr>
            <w:r>
              <w:t>EIA</w:t>
            </w:r>
          </w:p>
        </w:tc>
        <w:tc>
          <w:tcPr>
            <w:tcW w:w="6587" w:type="dxa"/>
          </w:tcPr>
          <w:p w14:paraId="3603B0EF" w14:textId="4432F1F7"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Energy Information Administration</w:t>
            </w:r>
          </w:p>
        </w:tc>
      </w:tr>
      <w:tr w:rsidR="001C743C" w14:paraId="36D670E4"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569CD3E6" w14:textId="77777777" w:rsidR="001C743C" w:rsidRDefault="001C743C" w:rsidP="001C743C">
            <w:pPr>
              <w:pStyle w:val="BodyText"/>
              <w:framePr w:hSpace="0" w:wrap="auto" w:vAnchor="margin" w:hAnchor="text" w:yAlign="inline"/>
            </w:pPr>
            <w:r>
              <w:t>EPA</w:t>
            </w:r>
          </w:p>
        </w:tc>
        <w:tc>
          <w:tcPr>
            <w:tcW w:w="6587" w:type="dxa"/>
          </w:tcPr>
          <w:p w14:paraId="5979F5C5"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United States Environmental Protection Agency</w:t>
            </w:r>
          </w:p>
        </w:tc>
      </w:tr>
      <w:tr w:rsidR="001C743C" w14:paraId="58FA0F08"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2538A632" w14:textId="409FED49" w:rsidR="001C743C" w:rsidRDefault="001C743C" w:rsidP="001C743C">
            <w:pPr>
              <w:pStyle w:val="BodyText"/>
              <w:framePr w:hSpace="0" w:wrap="auto" w:vAnchor="margin" w:hAnchor="text" w:yAlign="inline"/>
            </w:pPr>
            <w:r>
              <w:t>FLIGHT</w:t>
            </w:r>
          </w:p>
        </w:tc>
        <w:tc>
          <w:tcPr>
            <w:tcW w:w="6587" w:type="dxa"/>
          </w:tcPr>
          <w:p w14:paraId="094C8E41" w14:textId="4C446AAA"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BA461B">
              <w:t xml:space="preserve">EPA’s Facility </w:t>
            </w:r>
            <w:r>
              <w:t>Le</w:t>
            </w:r>
            <w:r w:rsidRPr="00BA461B">
              <w:t xml:space="preserve">vel Information on </w:t>
            </w:r>
            <w:proofErr w:type="spellStart"/>
            <w:r w:rsidRPr="00BA461B">
              <w:t>GreenHouse</w:t>
            </w:r>
            <w:proofErr w:type="spellEnd"/>
            <w:r w:rsidRPr="00BA461B">
              <w:t xml:space="preserve"> gases Tool (FLIGHT)</w:t>
            </w:r>
          </w:p>
        </w:tc>
      </w:tr>
      <w:tr w:rsidR="001C743C" w14:paraId="0EFB4A3E"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5BB5AB00" w14:textId="77777777" w:rsidR="001C743C" w:rsidRDefault="001C743C" w:rsidP="001C743C">
            <w:pPr>
              <w:pStyle w:val="BodyText"/>
              <w:framePr w:hSpace="0" w:wrap="auto" w:vAnchor="margin" w:hAnchor="text" w:yAlign="inline"/>
            </w:pPr>
            <w:r>
              <w:t>GHG</w:t>
            </w:r>
          </w:p>
        </w:tc>
        <w:tc>
          <w:tcPr>
            <w:tcW w:w="6587" w:type="dxa"/>
          </w:tcPr>
          <w:p w14:paraId="636E0679"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Greenhouse gas</w:t>
            </w:r>
          </w:p>
        </w:tc>
      </w:tr>
      <w:tr w:rsidR="001C743C" w14:paraId="3100695D" w14:textId="77777777" w:rsidTr="00442703">
        <w:trPr>
          <w:cnfStyle w:val="000000100000" w:firstRow="0" w:lastRow="0" w:firstColumn="0" w:lastColumn="0" w:oddVBand="0" w:evenVBand="0" w:oddHBand="1" w:evenHBand="0" w:firstRowFirstColumn="0" w:firstRowLastColumn="0" w:lastRowFirstColumn="0" w:lastRowLastColumn="0"/>
          <w:trHeight w:hRule="exact" w:val="599"/>
        </w:trPr>
        <w:tc>
          <w:tcPr>
            <w:cnfStyle w:val="001000000000" w:firstRow="0" w:lastRow="0" w:firstColumn="1" w:lastColumn="0" w:oddVBand="0" w:evenVBand="0" w:oddHBand="0" w:evenHBand="0" w:firstRowFirstColumn="0" w:firstRowLastColumn="0" w:lastRowFirstColumn="0" w:lastRowLastColumn="0"/>
            <w:tcW w:w="2198" w:type="dxa"/>
          </w:tcPr>
          <w:p w14:paraId="40E98138" w14:textId="11F6DA69" w:rsidR="001C743C" w:rsidRDefault="001C743C" w:rsidP="001C743C">
            <w:pPr>
              <w:pStyle w:val="BodyText"/>
              <w:framePr w:hSpace="0" w:wrap="auto" w:vAnchor="margin" w:hAnchor="text" w:yAlign="inline"/>
            </w:pPr>
            <w:r>
              <w:t>GREET</w:t>
            </w:r>
          </w:p>
        </w:tc>
        <w:tc>
          <w:tcPr>
            <w:tcW w:w="6587" w:type="dxa"/>
          </w:tcPr>
          <w:p w14:paraId="590F0A06" w14:textId="0578B88D"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Greenhouse gases, Regulated Emissions, and Energy use in Technologies Model</w:t>
            </w:r>
          </w:p>
        </w:tc>
      </w:tr>
      <w:tr w:rsidR="001C743C" w14:paraId="70F41461"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595BF0C8" w14:textId="77777777" w:rsidR="001C743C" w:rsidRDefault="001C743C" w:rsidP="001C743C">
            <w:pPr>
              <w:pStyle w:val="BodyText"/>
              <w:framePr w:hSpace="0" w:wrap="auto" w:vAnchor="margin" w:hAnchor="text" w:yAlign="inline"/>
            </w:pPr>
            <w:r>
              <w:t>GWP</w:t>
            </w:r>
          </w:p>
        </w:tc>
        <w:tc>
          <w:tcPr>
            <w:tcW w:w="6587" w:type="dxa"/>
          </w:tcPr>
          <w:p w14:paraId="373114B4"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Global warming potential</w:t>
            </w:r>
          </w:p>
        </w:tc>
      </w:tr>
      <w:tr w:rsidR="001C743C" w14:paraId="11CC2518"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6C7E6FC3" w14:textId="0ACF920A" w:rsidR="001C743C" w:rsidRDefault="001C743C" w:rsidP="001C743C">
            <w:pPr>
              <w:pStyle w:val="BodyText"/>
              <w:framePr w:hSpace="0" w:wrap="auto" w:vAnchor="margin" w:hAnchor="text" w:yAlign="inline"/>
            </w:pPr>
            <w:r>
              <w:t>GWSA</w:t>
            </w:r>
          </w:p>
        </w:tc>
        <w:tc>
          <w:tcPr>
            <w:tcW w:w="6587" w:type="dxa"/>
          </w:tcPr>
          <w:p w14:paraId="49926F7F" w14:textId="63199CA0"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Vermont Global Warming Solutions Act</w:t>
            </w:r>
          </w:p>
        </w:tc>
      </w:tr>
      <w:tr w:rsidR="001C743C" w14:paraId="7C64959F"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33EB7738" w14:textId="35234199" w:rsidR="001C743C" w:rsidRDefault="001C743C" w:rsidP="001C743C">
            <w:pPr>
              <w:pStyle w:val="BodyText"/>
              <w:framePr w:hSpace="0" w:wrap="auto" w:vAnchor="margin" w:hAnchor="text" w:yAlign="inline"/>
            </w:pPr>
            <w:r>
              <w:t>HFC</w:t>
            </w:r>
          </w:p>
        </w:tc>
        <w:tc>
          <w:tcPr>
            <w:tcW w:w="6587" w:type="dxa"/>
          </w:tcPr>
          <w:p w14:paraId="6B4976EF" w14:textId="3BE4A6F6"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Hydrofluorocarbon</w:t>
            </w:r>
          </w:p>
        </w:tc>
      </w:tr>
      <w:tr w:rsidR="001C743C" w14:paraId="2964E00D"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5EBEC905" w14:textId="77777777" w:rsidR="001C743C" w:rsidRDefault="001C743C" w:rsidP="001C743C">
            <w:pPr>
              <w:pStyle w:val="BodyText"/>
              <w:framePr w:hSpace="0" w:wrap="auto" w:vAnchor="margin" w:hAnchor="text" w:yAlign="inline"/>
            </w:pPr>
            <w:r>
              <w:t>IPCC</w:t>
            </w:r>
          </w:p>
        </w:tc>
        <w:tc>
          <w:tcPr>
            <w:tcW w:w="6587" w:type="dxa"/>
          </w:tcPr>
          <w:p w14:paraId="5832A15A" w14:textId="77777777"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Intergovernmental Panel on Climate Change</w:t>
            </w:r>
          </w:p>
        </w:tc>
      </w:tr>
      <w:tr w:rsidR="001C743C" w14:paraId="29210EBB"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2F480845" w14:textId="6DC00C40" w:rsidR="001C743C" w:rsidRDefault="001C743C" w:rsidP="001C743C">
            <w:pPr>
              <w:pStyle w:val="BodyText"/>
              <w:framePr w:hSpace="0" w:wrap="auto" w:vAnchor="margin" w:hAnchor="text" w:yAlign="inline"/>
            </w:pPr>
            <w:r>
              <w:t>KCA</w:t>
            </w:r>
          </w:p>
        </w:tc>
        <w:tc>
          <w:tcPr>
            <w:tcW w:w="6587" w:type="dxa"/>
          </w:tcPr>
          <w:p w14:paraId="79721874" w14:textId="448B58FF"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Key categories analysis</w:t>
            </w:r>
          </w:p>
        </w:tc>
      </w:tr>
      <w:tr w:rsidR="001C743C" w14:paraId="3BF11BB1"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5F70175B" w14:textId="7F6566C6" w:rsidR="001C743C" w:rsidRDefault="001C743C" w:rsidP="001C743C">
            <w:pPr>
              <w:pStyle w:val="BodyText"/>
              <w:framePr w:hSpace="0" w:wrap="auto" w:vAnchor="margin" w:hAnchor="text" w:yAlign="inline"/>
            </w:pPr>
            <w:r w:rsidRPr="00BB194E">
              <w:t>LULUCF</w:t>
            </w:r>
          </w:p>
        </w:tc>
        <w:tc>
          <w:tcPr>
            <w:tcW w:w="6587" w:type="dxa"/>
          </w:tcPr>
          <w:p w14:paraId="6A3CDCD7" w14:textId="29D8AE2C"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rsidRPr="00BB194E">
              <w:t xml:space="preserve">Land </w:t>
            </w:r>
            <w:r>
              <w:t>u</w:t>
            </w:r>
            <w:r w:rsidRPr="00BB194E">
              <w:t xml:space="preserve">se, </w:t>
            </w:r>
            <w:r>
              <w:t>l</w:t>
            </w:r>
            <w:r w:rsidRPr="00BB194E">
              <w:t xml:space="preserve">and </w:t>
            </w:r>
            <w:r>
              <w:t>u</w:t>
            </w:r>
            <w:r w:rsidRPr="00BB194E">
              <w:t xml:space="preserve">se </w:t>
            </w:r>
            <w:r>
              <w:t>c</w:t>
            </w:r>
            <w:r w:rsidRPr="00BB194E">
              <w:t xml:space="preserve">hange, and </w:t>
            </w:r>
            <w:r>
              <w:t>f</w:t>
            </w:r>
            <w:r w:rsidRPr="00BB194E">
              <w:t>orestry</w:t>
            </w:r>
          </w:p>
        </w:tc>
      </w:tr>
      <w:tr w:rsidR="001C743C" w14:paraId="0A8A950E"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7217E1B7" w14:textId="17AB9E60" w:rsidR="001C743C" w:rsidRDefault="001C743C" w:rsidP="001C743C">
            <w:pPr>
              <w:pStyle w:val="BodyText"/>
              <w:framePr w:hSpace="0" w:wrap="auto" w:vAnchor="margin" w:hAnchor="text" w:yAlign="inline"/>
            </w:pPr>
            <w:r>
              <w:t>MMTCO</w:t>
            </w:r>
            <w:r w:rsidRPr="009B1222">
              <w:rPr>
                <w:vertAlign w:val="subscript"/>
              </w:rPr>
              <w:t>2</w:t>
            </w:r>
            <w:r>
              <w:t>e</w:t>
            </w:r>
          </w:p>
        </w:tc>
        <w:tc>
          <w:tcPr>
            <w:tcW w:w="6587" w:type="dxa"/>
          </w:tcPr>
          <w:p w14:paraId="193B1468" w14:textId="196E4B44"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 xml:space="preserve">Million metric </w:t>
            </w:r>
            <w:proofErr w:type="spellStart"/>
            <w:r>
              <w:t>tonnes</w:t>
            </w:r>
            <w:proofErr w:type="spellEnd"/>
            <w:r>
              <w:t xml:space="preserve"> of carbon dioxide equivalent </w:t>
            </w:r>
          </w:p>
        </w:tc>
      </w:tr>
      <w:tr w:rsidR="001C743C" w14:paraId="0BFB9A7D"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394AD224" w14:textId="43FAF47D" w:rsidR="001C743C" w:rsidRDefault="001C743C" w:rsidP="001C743C">
            <w:pPr>
              <w:pStyle w:val="BodyText"/>
              <w:framePr w:hSpace="0" w:wrap="auto" w:vAnchor="margin" w:hAnchor="text" w:yAlign="inline"/>
            </w:pPr>
            <w:r>
              <w:t>NREL</w:t>
            </w:r>
          </w:p>
        </w:tc>
        <w:tc>
          <w:tcPr>
            <w:tcW w:w="6587" w:type="dxa"/>
          </w:tcPr>
          <w:p w14:paraId="066C8374" w14:textId="4D6BA77D"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National Renewable En</w:t>
            </w:r>
            <w:r w:rsidR="008156C0">
              <w:t>e</w:t>
            </w:r>
            <w:r>
              <w:t>rgy Laboratory</w:t>
            </w:r>
          </w:p>
        </w:tc>
      </w:tr>
      <w:tr w:rsidR="001C743C" w14:paraId="07A833E5"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3D943B97" w14:textId="7BAD5024" w:rsidR="001C743C" w:rsidRDefault="001C743C" w:rsidP="001C743C">
            <w:pPr>
              <w:pStyle w:val="BodyText"/>
              <w:framePr w:hSpace="0" w:wrap="auto" w:vAnchor="margin" w:hAnchor="text" w:yAlign="inline"/>
            </w:pPr>
            <w:r>
              <w:t>NWL</w:t>
            </w:r>
          </w:p>
        </w:tc>
        <w:tc>
          <w:tcPr>
            <w:tcW w:w="6587" w:type="dxa"/>
          </w:tcPr>
          <w:p w14:paraId="7ABEE01A" w14:textId="670473B9"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Natural and working lands</w:t>
            </w:r>
          </w:p>
        </w:tc>
      </w:tr>
      <w:tr w:rsidR="001C743C" w14:paraId="571BB723"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1DF40AD9" w14:textId="77777777" w:rsidR="001C743C" w:rsidRDefault="001C743C" w:rsidP="001C743C">
            <w:pPr>
              <w:pStyle w:val="BodyText"/>
              <w:framePr w:hSpace="0" w:wrap="auto" w:vAnchor="margin" w:hAnchor="text" w:yAlign="inline"/>
            </w:pPr>
            <w:r>
              <w:t>N2O</w:t>
            </w:r>
          </w:p>
        </w:tc>
        <w:tc>
          <w:tcPr>
            <w:tcW w:w="6587" w:type="dxa"/>
          </w:tcPr>
          <w:p w14:paraId="3650DC2F" w14:textId="77777777"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Nitrous oxide</w:t>
            </w:r>
          </w:p>
        </w:tc>
      </w:tr>
      <w:tr w:rsidR="001C743C" w14:paraId="64FB39D5"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09369CCE" w14:textId="77777777" w:rsidR="001C743C" w:rsidRDefault="001C743C" w:rsidP="001C743C">
            <w:pPr>
              <w:pStyle w:val="BodyText"/>
              <w:framePr w:hSpace="0" w:wrap="auto" w:vAnchor="margin" w:hAnchor="text" w:yAlign="inline"/>
            </w:pPr>
            <w:r>
              <w:t>ODS</w:t>
            </w:r>
          </w:p>
        </w:tc>
        <w:tc>
          <w:tcPr>
            <w:tcW w:w="6587" w:type="dxa"/>
          </w:tcPr>
          <w:p w14:paraId="0F2A4DE6"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Ozone depleting substance</w:t>
            </w:r>
          </w:p>
        </w:tc>
      </w:tr>
      <w:tr w:rsidR="001C743C" w14:paraId="741DF4AD"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34ECA1A7" w14:textId="2D689708" w:rsidR="001C743C" w:rsidRDefault="001C743C" w:rsidP="001C743C">
            <w:pPr>
              <w:pStyle w:val="BodyText"/>
              <w:framePr w:hSpace="0" w:wrap="auto" w:vAnchor="margin" w:hAnchor="text" w:yAlign="inline"/>
            </w:pPr>
            <w:r>
              <w:t>OLVCC</w:t>
            </w:r>
          </w:p>
        </w:tc>
        <w:tc>
          <w:tcPr>
            <w:tcW w:w="6587" w:type="dxa"/>
          </w:tcPr>
          <w:p w14:paraId="75024BAC" w14:textId="69EA8BE6"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Open letter to the Vermont Climate Council</w:t>
            </w:r>
          </w:p>
        </w:tc>
      </w:tr>
      <w:tr w:rsidR="001C743C" w14:paraId="66F3CBB6"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514F950D" w14:textId="1A830472" w:rsidR="001C743C" w:rsidRDefault="001C743C" w:rsidP="001C743C">
            <w:pPr>
              <w:pStyle w:val="BodyText"/>
              <w:framePr w:hSpace="0" w:wrap="auto" w:vAnchor="margin" w:hAnchor="text" w:yAlign="inline"/>
            </w:pPr>
            <w:r>
              <w:t>REC</w:t>
            </w:r>
          </w:p>
        </w:tc>
        <w:tc>
          <w:tcPr>
            <w:tcW w:w="6587" w:type="dxa"/>
          </w:tcPr>
          <w:p w14:paraId="7515F8B9" w14:textId="04D9D18E"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Renewable energy credits</w:t>
            </w:r>
          </w:p>
        </w:tc>
      </w:tr>
      <w:tr w:rsidR="001C743C" w14:paraId="55925AC3"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14E692F2" w14:textId="77777777" w:rsidR="001C743C" w:rsidRDefault="001C743C" w:rsidP="001C743C">
            <w:pPr>
              <w:pStyle w:val="BodyText"/>
              <w:framePr w:hSpace="0" w:wrap="auto" w:vAnchor="margin" w:hAnchor="text" w:yAlign="inline"/>
            </w:pPr>
            <w:r>
              <w:t>SEDS</w:t>
            </w:r>
          </w:p>
        </w:tc>
        <w:tc>
          <w:tcPr>
            <w:tcW w:w="6587" w:type="dxa"/>
          </w:tcPr>
          <w:p w14:paraId="6CA01D56" w14:textId="77777777"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State Energy Data System</w:t>
            </w:r>
          </w:p>
        </w:tc>
      </w:tr>
      <w:tr w:rsidR="001C743C" w14:paraId="04A4E3DE"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6AB0C1AE" w14:textId="77777777" w:rsidR="001C743C" w:rsidRDefault="001C743C" w:rsidP="001C743C">
            <w:pPr>
              <w:pStyle w:val="BodyText"/>
              <w:framePr w:hSpace="0" w:wrap="auto" w:vAnchor="margin" w:hAnchor="text" w:yAlign="inline"/>
            </w:pPr>
            <w:r>
              <w:t>SIT</w:t>
            </w:r>
          </w:p>
        </w:tc>
        <w:tc>
          <w:tcPr>
            <w:tcW w:w="6587" w:type="dxa"/>
          </w:tcPr>
          <w:p w14:paraId="1A031E0F"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EPA’s State Inventory Tool</w:t>
            </w:r>
          </w:p>
        </w:tc>
      </w:tr>
      <w:tr w:rsidR="001C743C" w14:paraId="305626B6"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48C01D38" w14:textId="7B751CC8" w:rsidR="001C743C" w:rsidRDefault="001C743C" w:rsidP="001C743C">
            <w:pPr>
              <w:pStyle w:val="BodyText"/>
              <w:framePr w:hSpace="0" w:wrap="auto" w:vAnchor="margin" w:hAnchor="text" w:yAlign="inline"/>
            </w:pPr>
            <w:r>
              <w:t>SLCP</w:t>
            </w:r>
          </w:p>
        </w:tc>
        <w:tc>
          <w:tcPr>
            <w:tcW w:w="6587" w:type="dxa"/>
          </w:tcPr>
          <w:p w14:paraId="0D2DC7C9" w14:textId="6BBFDD15"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Short-lived climate pollutant</w:t>
            </w:r>
          </w:p>
        </w:tc>
      </w:tr>
      <w:tr w:rsidR="001C743C" w14:paraId="7FBB5DD4" w14:textId="77777777" w:rsidTr="00BF70FC">
        <w:trPr>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44C67AE3" w14:textId="77777777" w:rsidR="001C743C" w:rsidRDefault="001C743C" w:rsidP="001C743C">
            <w:pPr>
              <w:pStyle w:val="BodyText"/>
              <w:framePr w:hSpace="0" w:wrap="auto" w:vAnchor="margin" w:hAnchor="text" w:yAlign="inline"/>
            </w:pPr>
            <w:r>
              <w:t>VCC</w:t>
            </w:r>
          </w:p>
        </w:tc>
        <w:tc>
          <w:tcPr>
            <w:tcW w:w="6587" w:type="dxa"/>
          </w:tcPr>
          <w:p w14:paraId="0D653BFF" w14:textId="77777777" w:rsidR="001C743C" w:rsidRDefault="001C743C" w:rsidP="001C743C">
            <w:pPr>
              <w:pStyle w:val="BodyText"/>
              <w:framePr w:hSpace="0" w:wrap="auto" w:vAnchor="margin" w:hAnchor="text" w:yAlign="inline"/>
              <w:cnfStyle w:val="000000000000" w:firstRow="0" w:lastRow="0" w:firstColumn="0" w:lastColumn="0" w:oddVBand="0" w:evenVBand="0" w:oddHBand="0" w:evenHBand="0" w:firstRowFirstColumn="0" w:firstRowLastColumn="0" w:lastRowFirstColumn="0" w:lastRowLastColumn="0"/>
            </w:pPr>
            <w:r>
              <w:t>Vermont Climate Council</w:t>
            </w:r>
          </w:p>
        </w:tc>
      </w:tr>
      <w:tr w:rsidR="001C743C" w14:paraId="3ACEDAD6" w14:textId="77777777" w:rsidTr="00BF70FC">
        <w:trPr>
          <w:cnfStyle w:val="000000100000" w:firstRow="0" w:lastRow="0" w:firstColumn="0" w:lastColumn="0" w:oddVBand="0" w:evenVBand="0" w:oddHBand="1" w:evenHBand="0" w:firstRowFirstColumn="0" w:firstRowLastColumn="0" w:lastRowFirstColumn="0" w:lastRowLastColumn="0"/>
          <w:trHeight w:hRule="exact" w:val="285"/>
        </w:trPr>
        <w:tc>
          <w:tcPr>
            <w:cnfStyle w:val="001000000000" w:firstRow="0" w:lastRow="0" w:firstColumn="1" w:lastColumn="0" w:oddVBand="0" w:evenVBand="0" w:oddHBand="0" w:evenHBand="0" w:firstRowFirstColumn="0" w:firstRowLastColumn="0" w:lastRowFirstColumn="0" w:lastRowLastColumn="0"/>
            <w:tcW w:w="2198" w:type="dxa"/>
          </w:tcPr>
          <w:p w14:paraId="6F38CC29" w14:textId="564C62C0" w:rsidR="001C743C" w:rsidRDefault="001C743C" w:rsidP="001C743C">
            <w:pPr>
              <w:pStyle w:val="BodyText"/>
              <w:framePr w:hSpace="0" w:wrap="auto" w:vAnchor="margin" w:hAnchor="text" w:yAlign="inline"/>
            </w:pPr>
            <w:r>
              <w:t>VMT</w:t>
            </w:r>
          </w:p>
        </w:tc>
        <w:tc>
          <w:tcPr>
            <w:tcW w:w="6587" w:type="dxa"/>
          </w:tcPr>
          <w:p w14:paraId="70FD2705" w14:textId="21551EB2" w:rsidR="001C743C" w:rsidRDefault="001C743C" w:rsidP="001C743C">
            <w:pPr>
              <w:pStyle w:val="BodyText"/>
              <w:framePr w:hSpace="0" w:wrap="auto" w:vAnchor="margin" w:hAnchor="text" w:yAlign="inline"/>
              <w:cnfStyle w:val="000000100000" w:firstRow="0" w:lastRow="0" w:firstColumn="0" w:lastColumn="0" w:oddVBand="0" w:evenVBand="0" w:oddHBand="1" w:evenHBand="0" w:firstRowFirstColumn="0" w:firstRowLastColumn="0" w:lastRowFirstColumn="0" w:lastRowLastColumn="0"/>
            </w:pPr>
            <w:r>
              <w:t>Vehicle miles travelled</w:t>
            </w:r>
          </w:p>
        </w:tc>
      </w:tr>
    </w:tbl>
    <w:p w14:paraId="5E5E5362" w14:textId="767183A0" w:rsidR="00805C9C" w:rsidRDefault="00805C9C" w:rsidP="00805C9C">
      <w:pPr>
        <w:pStyle w:val="Heading1"/>
      </w:pPr>
      <w:bookmarkStart w:id="4" w:name="_Toc78869929"/>
      <w:r>
        <w:t>Introduction</w:t>
      </w:r>
      <w:bookmarkEnd w:id="4"/>
    </w:p>
    <w:p w14:paraId="34119F37" w14:textId="75993E7D" w:rsidR="00A83C15" w:rsidRDefault="00CB69AC" w:rsidP="00633E51">
      <w:r>
        <w:t xml:space="preserve">Tracking and reporting on emissions of greenhouse gases (GHGs) through “GHG inventories” is an important tool to help inform policy and decision making at the local, state, regional, </w:t>
      </w:r>
      <w:r>
        <w:lastRenderedPageBreak/>
        <w:t>national</w:t>
      </w:r>
      <w:r w:rsidR="0024081D">
        <w:t>,</w:t>
      </w:r>
      <w:r>
        <w:t xml:space="preserve"> and international levels.  A consistent and comprehensive accounting framework helps to insure </w:t>
      </w:r>
      <w:r w:rsidR="00C7573A">
        <w:t>full accounting of emissions and the</w:t>
      </w:r>
      <w:r w:rsidR="00A83C15">
        <w:t xml:space="preserve"> establishment of emissions reduction targets and strategies.  </w:t>
      </w:r>
    </w:p>
    <w:p w14:paraId="17FC462D" w14:textId="10662375" w:rsidR="00337D3A" w:rsidRDefault="00A83C15" w:rsidP="00633E51">
      <w:r>
        <w:t xml:space="preserve">Energy Futures Group (EFG) </w:t>
      </w:r>
      <w:r w:rsidR="00E20B6E">
        <w:t>is</w:t>
      </w:r>
      <w:r>
        <w:t xml:space="preserve"> engaged as part of a team led by Cadmus </w:t>
      </w:r>
      <w:r w:rsidR="002B51EB">
        <w:t xml:space="preserve">Group LLC (Cadmus), </w:t>
      </w:r>
      <w:r w:rsidR="00E7250C">
        <w:t>serving</w:t>
      </w:r>
      <w:r w:rsidR="002B51EB">
        <w:t xml:space="preserve"> as technical consultants to support the development of Vermont’s Climate Action Plan (CAP) by the Vermont Climate Council (VCC).  </w:t>
      </w:r>
      <w:r w:rsidR="00265BCE">
        <w:t xml:space="preserve">Our scope of work includes a </w:t>
      </w:r>
      <w:r w:rsidR="00776107">
        <w:t>review of Vermont’s GHG inventory and methods</w:t>
      </w:r>
      <w:r w:rsidR="00AB6C89">
        <w:t>.</w:t>
      </w:r>
      <w:r w:rsidR="00337D3A">
        <w:t xml:space="preserve">  </w:t>
      </w:r>
      <w:r w:rsidR="0027094E">
        <w:t>The</w:t>
      </w:r>
      <w:r w:rsidR="00303C1A">
        <w:t xml:space="preserve"> overarching objective is to support the VCC in development of the CAP by comparing Vermont’s inventory to national and international guidelines, to practices in other states</w:t>
      </w:r>
      <w:r w:rsidR="002B09C5">
        <w:t>,</w:t>
      </w:r>
      <w:r w:rsidR="00303C1A">
        <w:t xml:space="preserve"> and to discuss issues and opportunities for </w:t>
      </w:r>
      <w:r w:rsidR="002B09C5">
        <w:t xml:space="preserve">enhancements or modifications to Vermont’s current methods.  </w:t>
      </w:r>
      <w:r w:rsidR="0027094E">
        <w:t>In support of this</w:t>
      </w:r>
      <w:r w:rsidR="00534423">
        <w:t xml:space="preserve"> objective our research includes</w:t>
      </w:r>
      <w:r w:rsidR="00337D3A">
        <w:t xml:space="preserve">: </w:t>
      </w:r>
    </w:p>
    <w:p w14:paraId="709713F6" w14:textId="23DB7184" w:rsidR="00337D3A" w:rsidRDefault="00337D3A" w:rsidP="00337D3A">
      <w:pPr>
        <w:pStyle w:val="ListParagraph"/>
        <w:numPr>
          <w:ilvl w:val="0"/>
          <w:numId w:val="35"/>
        </w:numPr>
      </w:pPr>
      <w:r>
        <w:t xml:space="preserve">Review and document Vermont’s current GHG Inventory </w:t>
      </w:r>
      <w:r w:rsidR="00DA4CE1">
        <w:t>methodology.</w:t>
      </w:r>
      <w:r>
        <w:t xml:space="preserve"> </w:t>
      </w:r>
    </w:p>
    <w:p w14:paraId="54C347B5" w14:textId="77777777" w:rsidR="00DA4CE1" w:rsidRDefault="00337D3A" w:rsidP="00337D3A">
      <w:pPr>
        <w:pStyle w:val="ListParagraph"/>
        <w:numPr>
          <w:ilvl w:val="0"/>
          <w:numId w:val="35"/>
        </w:numPr>
      </w:pPr>
      <w:r>
        <w:t>Compare the current method to guidance from the U.S. Environmental Protection Agency (EPA), a</w:t>
      </w:r>
      <w:r w:rsidR="00DA4CE1">
        <w:t xml:space="preserve">nd the Intergovernmental Panel on Climate Change (IPCC). </w:t>
      </w:r>
    </w:p>
    <w:p w14:paraId="5934491B" w14:textId="3E865922" w:rsidR="00150053" w:rsidRDefault="00150053" w:rsidP="00337D3A">
      <w:pPr>
        <w:pStyle w:val="ListParagraph"/>
        <w:numPr>
          <w:ilvl w:val="0"/>
          <w:numId w:val="35"/>
        </w:numPr>
      </w:pPr>
      <w:r>
        <w:t>Compare</w:t>
      </w:r>
      <w:r w:rsidR="007D4D35">
        <w:t xml:space="preserve"> Vermont’s GHG inventory methods</w:t>
      </w:r>
      <w:r>
        <w:t xml:space="preserve"> </w:t>
      </w:r>
      <w:r w:rsidR="004F0255">
        <w:t xml:space="preserve">with </w:t>
      </w:r>
      <w:r>
        <w:t>California, Massachusetts</w:t>
      </w:r>
      <w:r w:rsidR="00175C6B">
        <w:t>,</w:t>
      </w:r>
      <w:r>
        <w:t xml:space="preserve"> and New York. </w:t>
      </w:r>
    </w:p>
    <w:p w14:paraId="4B4629EB" w14:textId="77777777" w:rsidR="002353C0" w:rsidRDefault="00372BA2" w:rsidP="00337D3A">
      <w:pPr>
        <w:pStyle w:val="ListParagraph"/>
        <w:numPr>
          <w:ilvl w:val="0"/>
          <w:numId w:val="35"/>
        </w:numPr>
      </w:pPr>
      <w:r>
        <w:t>Review Consumption Based Emissions Inventory (CBEI) methods as developed and applied by Oregon and Minnesota</w:t>
      </w:r>
      <w:r w:rsidR="00534423">
        <w:t>.</w:t>
      </w:r>
    </w:p>
    <w:p w14:paraId="301D5B23" w14:textId="55492C41" w:rsidR="00337D3A" w:rsidRDefault="002353C0" w:rsidP="00337D3A">
      <w:pPr>
        <w:pStyle w:val="ListParagraph"/>
        <w:numPr>
          <w:ilvl w:val="0"/>
          <w:numId w:val="35"/>
        </w:numPr>
      </w:pPr>
      <w:r>
        <w:t xml:space="preserve">Review of issues raised by stakeholders </w:t>
      </w:r>
      <w:r w:rsidR="003A1425">
        <w:t xml:space="preserve">on of Vermont’s current GHG methods.  </w:t>
      </w:r>
      <w:r w:rsidR="00132163">
        <w:t xml:space="preserve"> </w:t>
      </w:r>
    </w:p>
    <w:p w14:paraId="19A2F23B" w14:textId="47EE1371" w:rsidR="00C739CB" w:rsidRDefault="00AE4FF9" w:rsidP="00D5173F">
      <w:pPr>
        <w:ind w:left="53"/>
      </w:pPr>
      <w:r>
        <w:t>R</w:t>
      </w:r>
      <w:r w:rsidR="00DC2554">
        <w:t>esearch methods and activities have included detailed r</w:t>
      </w:r>
      <w:r w:rsidR="00C739CB">
        <w:t xml:space="preserve">eview of the </w:t>
      </w:r>
      <w:r w:rsidR="00DC2554">
        <w:t xml:space="preserve">inventory </w:t>
      </w:r>
      <w:r w:rsidR="00C739CB">
        <w:t>tool</w:t>
      </w:r>
      <w:r w:rsidR="00DC2554">
        <w:t xml:space="preserve"> and spreadsheets</w:t>
      </w:r>
      <w:r w:rsidR="00C739CB">
        <w:t xml:space="preserve">, </w:t>
      </w:r>
      <w:r w:rsidR="00DC2554">
        <w:t xml:space="preserve">multiple telephone </w:t>
      </w:r>
      <w:r w:rsidR="00C739CB">
        <w:t xml:space="preserve">interviews with </w:t>
      </w:r>
      <w:r w:rsidR="00887638">
        <w:t xml:space="preserve">the Agency of Natural Resources (ANR) </w:t>
      </w:r>
      <w:r w:rsidR="00C739CB">
        <w:t xml:space="preserve">staff </w:t>
      </w:r>
      <w:r w:rsidR="00887638">
        <w:t>who compile</w:t>
      </w:r>
      <w:r w:rsidR="00C739CB">
        <w:t xml:space="preserve"> the inventory, </w:t>
      </w:r>
      <w:r w:rsidR="00F56EE6">
        <w:t xml:space="preserve">several remote working </w:t>
      </w:r>
      <w:r w:rsidR="00C739CB">
        <w:t xml:space="preserve">sessions with Data and Science Subcommittee </w:t>
      </w:r>
      <w:r w:rsidR="00F56EE6">
        <w:t xml:space="preserve">task leads and members </w:t>
      </w:r>
      <w:r w:rsidR="001B7A84">
        <w:t>to discuss</w:t>
      </w:r>
      <w:r w:rsidR="00C739CB">
        <w:t xml:space="preserve"> issues and opportunities for modifications or improvements</w:t>
      </w:r>
      <w:r w:rsidR="009E25E8">
        <w:t>, and l</w:t>
      </w:r>
      <w:r w:rsidR="00C739CB">
        <w:t xml:space="preserve">iterature review of guidance documents from the </w:t>
      </w:r>
      <w:r w:rsidR="009E25E8">
        <w:t xml:space="preserve">EPA and </w:t>
      </w:r>
      <w:r w:rsidR="00C739CB">
        <w:t>IPCC</w:t>
      </w:r>
      <w:r w:rsidR="009C743D">
        <w:t>, and inventory documents from comparison states</w:t>
      </w:r>
      <w:r w:rsidR="00C739CB">
        <w:t xml:space="preserve">.     </w:t>
      </w:r>
    </w:p>
    <w:p w14:paraId="0C278683" w14:textId="77777777" w:rsidR="006D6CC0" w:rsidRDefault="006D6CC0">
      <w:pPr>
        <w:spacing w:after="160" w:line="259" w:lineRule="auto"/>
        <w:rPr>
          <w:rFonts w:asciiTheme="majorHAnsi" w:eastAsiaTheme="majorEastAsia" w:hAnsiTheme="majorHAnsi" w:cstheme="majorBidi"/>
          <w:b/>
          <w:color w:val="003F5F" w:themeColor="text2"/>
          <w:sz w:val="32"/>
          <w:szCs w:val="32"/>
        </w:rPr>
      </w:pPr>
      <w:r>
        <w:br w:type="page"/>
      </w:r>
    </w:p>
    <w:p w14:paraId="5B8FB093" w14:textId="2CAD3719" w:rsidR="00A0228E" w:rsidRPr="00A0228E" w:rsidRDefault="007269D1" w:rsidP="00A0228E">
      <w:pPr>
        <w:pStyle w:val="Heading1"/>
      </w:pPr>
      <w:bookmarkStart w:id="5" w:name="_Toc78869930"/>
      <w:r>
        <w:lastRenderedPageBreak/>
        <w:t>Executive Summary</w:t>
      </w:r>
      <w:bookmarkEnd w:id="5"/>
    </w:p>
    <w:p w14:paraId="6C5FF1BA" w14:textId="3DDC947E" w:rsidR="00FE7706" w:rsidRDefault="00653352" w:rsidP="005F2C56">
      <w:pPr>
        <w:pStyle w:val="Heading2"/>
      </w:pPr>
      <w:bookmarkStart w:id="6" w:name="_Toc78869931"/>
      <w:r>
        <w:t>Vermont</w:t>
      </w:r>
      <w:r w:rsidR="00744B6D">
        <w:t>’s GHG</w:t>
      </w:r>
      <w:r>
        <w:t xml:space="preserve"> Inventory</w:t>
      </w:r>
      <w:bookmarkEnd w:id="6"/>
    </w:p>
    <w:p w14:paraId="01436653" w14:textId="1D1400B3" w:rsidR="006B1D89" w:rsidRDefault="00744B6D" w:rsidP="00091B72">
      <w:r>
        <w:t xml:space="preserve">Vermont’s most recent GHG Inventory </w:t>
      </w:r>
      <w:r w:rsidR="00C33A4D">
        <w:t xml:space="preserve">prepared by the Air Quality and Climate Division </w:t>
      </w:r>
      <w:r w:rsidR="00515C11">
        <w:t xml:space="preserve">(AQCD) </w:t>
      </w:r>
      <w:r w:rsidR="00C33A4D">
        <w:t xml:space="preserve">of the </w:t>
      </w:r>
      <w:r w:rsidR="00CF305E">
        <w:t>Department of Environmental Conservation</w:t>
      </w:r>
      <w:r w:rsidR="00515C11">
        <w:t xml:space="preserve"> (DEC)</w:t>
      </w:r>
      <w:r w:rsidR="00CF305E">
        <w:t xml:space="preserve"> within the </w:t>
      </w:r>
      <w:r w:rsidR="000B52A3">
        <w:t>Agency of Natural Resources</w:t>
      </w:r>
      <w:r w:rsidR="00515C11">
        <w:t xml:space="preserve"> (ANR)</w:t>
      </w:r>
      <w:r w:rsidR="00516D9F">
        <w:t>,</w:t>
      </w:r>
      <w:r w:rsidR="00064FAD">
        <w:t xml:space="preserve"> was released in May 2021.</w:t>
      </w:r>
      <w:r w:rsidR="00064FAD">
        <w:rPr>
          <w:rStyle w:val="FootnoteReference"/>
        </w:rPr>
        <w:footnoteReference w:id="2"/>
      </w:r>
      <w:r w:rsidR="00064FAD">
        <w:t xml:space="preserve">  </w:t>
      </w:r>
      <w:r w:rsidR="005D26E7">
        <w:t>This newest comprehensive report is</w:t>
      </w:r>
      <w:r w:rsidR="00683124">
        <w:t xml:space="preserve"> the latest in a series of briefs, updates, and comprehensive reports dating back to 2008.  </w:t>
      </w:r>
    </w:p>
    <w:p w14:paraId="13E4FFAE" w14:textId="47E5981C" w:rsidR="00DA1816" w:rsidRDefault="006E196C" w:rsidP="006E196C">
      <w:r>
        <w:t>The official emissions reported by the inventory are gross emissions including levels from 1990 and 2005 which serve as a basis for the emissions reduction targets established by the Global Warming Solutions Act 153</w:t>
      </w:r>
      <w:r w:rsidR="00185F3A">
        <w:t xml:space="preserve"> (GWSA)</w:t>
      </w:r>
      <w:r>
        <w:t xml:space="preserve"> of 2020, and the associated targets for 2025 (26% below 2005), 2030 (40% below 1990) and 2050 (80% below 1990).   </w:t>
      </w:r>
    </w:p>
    <w:p w14:paraId="0F15A4E3" w14:textId="77777777" w:rsidR="00A9611F" w:rsidRDefault="00A9611F" w:rsidP="00A9611F">
      <w:r w:rsidRPr="006D0E3F">
        <w:rPr>
          <w:noProof/>
        </w:rPr>
        <w:drawing>
          <wp:inline distT="0" distB="0" distL="0" distR="0" wp14:anchorId="1B844A46" wp14:editId="3D2217B4">
            <wp:extent cx="5943600" cy="1948180"/>
            <wp:effectExtent l="0" t="0" r="0" b="0"/>
            <wp:docPr id="2819" name="Picture 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48180"/>
                    </a:xfrm>
                    <a:prstGeom prst="rect">
                      <a:avLst/>
                    </a:prstGeom>
                    <a:noFill/>
                    <a:ln>
                      <a:noFill/>
                    </a:ln>
                  </pic:spPr>
                </pic:pic>
              </a:graphicData>
            </a:graphic>
          </wp:inline>
        </w:drawing>
      </w:r>
    </w:p>
    <w:p w14:paraId="2B5123DC" w14:textId="5DEBADAF" w:rsidR="00DA1816" w:rsidRPr="0093369D" w:rsidRDefault="00A9611F" w:rsidP="0093369D">
      <w:pPr>
        <w:jc w:val="center"/>
        <w:rPr>
          <w:sz w:val="22"/>
        </w:rPr>
      </w:pPr>
      <w:r w:rsidRPr="0093369D">
        <w:rPr>
          <w:b/>
          <w:bCs/>
          <w:sz w:val="22"/>
        </w:rPr>
        <w:t xml:space="preserve">Figure </w:t>
      </w:r>
      <w:r w:rsidR="001C12D1">
        <w:rPr>
          <w:b/>
          <w:bCs/>
          <w:sz w:val="22"/>
        </w:rPr>
        <w:t xml:space="preserve">ES </w:t>
      </w:r>
      <w:r w:rsidRPr="0093369D">
        <w:rPr>
          <w:b/>
          <w:bCs/>
          <w:sz w:val="22"/>
        </w:rPr>
        <w:t>1:</w:t>
      </w:r>
      <w:r>
        <w:rPr>
          <w:sz w:val="22"/>
        </w:rPr>
        <w:t xml:space="preserve"> Vermont statewide greenhouse gas emissions levels and mandated reduction targets as defined in 10 V.S.A. § 578</w:t>
      </w:r>
      <w:r w:rsidR="00304236">
        <w:rPr>
          <w:sz w:val="22"/>
        </w:rPr>
        <w:t>.</w:t>
      </w:r>
      <w:r w:rsidR="004B28C2">
        <w:rPr>
          <w:rStyle w:val="FootnoteReference"/>
          <w:sz w:val="22"/>
        </w:rPr>
        <w:footnoteReference w:id="3"/>
      </w:r>
    </w:p>
    <w:p w14:paraId="56CB035A" w14:textId="65174E0F" w:rsidR="00877A43" w:rsidRDefault="00737729" w:rsidP="00091B72">
      <w:r>
        <w:t xml:space="preserve">The Vermont inventory </w:t>
      </w:r>
      <w:r w:rsidR="00AD0495">
        <w:t>classifies emissions by</w:t>
      </w:r>
      <w:r w:rsidR="00705D20">
        <w:t xml:space="preserve"> seven sectors</w:t>
      </w:r>
      <w:r w:rsidR="00AD0495">
        <w:t xml:space="preserve"> and multiple categories for each sector, based on IPCC guidelines.  The sectors</w:t>
      </w:r>
      <w:r w:rsidR="00AF0C90">
        <w:t xml:space="preserve"> in Vermont’s</w:t>
      </w:r>
      <w:r w:rsidR="00AD0495">
        <w:t xml:space="preserve"> are: 1) Transportation mobile sources, 2) Residential</w:t>
      </w:r>
      <w:r w:rsidR="00B743A5">
        <w:t>,</w:t>
      </w:r>
      <w:r w:rsidR="00AD0495">
        <w:t xml:space="preserve"> </w:t>
      </w:r>
      <w:r w:rsidR="00B743A5">
        <w:t>C</w:t>
      </w:r>
      <w:r w:rsidR="00AD0495">
        <w:t>ommercial</w:t>
      </w:r>
      <w:r w:rsidR="00B743A5">
        <w:t>,</w:t>
      </w:r>
      <w:r w:rsidR="00AD0495">
        <w:t xml:space="preserve"> and Industrial fuel use, 3) Agriculture, 4) Industrial processes, 5) Electricity consumption, 6) Waste, and 7) Fossil fuel industry.  </w:t>
      </w:r>
    </w:p>
    <w:p w14:paraId="340860FA" w14:textId="0F0011DA" w:rsidR="000A5C8E" w:rsidRDefault="00896671" w:rsidP="00091B72">
      <w:r>
        <w:t>The m</w:t>
      </w:r>
      <w:r w:rsidR="006B1D89">
        <w:t xml:space="preserve">ethods for the </w:t>
      </w:r>
      <w:r>
        <w:t xml:space="preserve">current </w:t>
      </w:r>
      <w:r w:rsidR="006B1D89">
        <w:t xml:space="preserve">Vermont inventory </w:t>
      </w:r>
      <w:r w:rsidR="00F617EC">
        <w:t>generally follow</w:t>
      </w:r>
      <w:r w:rsidR="006B1D89">
        <w:t xml:space="preserve"> guidelines </w:t>
      </w:r>
      <w:r w:rsidR="001C4537">
        <w:t xml:space="preserve">for each sector </w:t>
      </w:r>
      <w:r w:rsidR="006B1D89">
        <w:t xml:space="preserve">from the EPA and IPCC and </w:t>
      </w:r>
      <w:r w:rsidR="002F3F7F">
        <w:t>are mostly</w:t>
      </w:r>
      <w:r w:rsidR="006B1D89">
        <w:t xml:space="preserve"> consistent with the preceding inventories. </w:t>
      </w:r>
      <w:r w:rsidR="00F26FD9">
        <w:t xml:space="preserve"> </w:t>
      </w:r>
      <w:r w:rsidR="00466E69">
        <w:t xml:space="preserve">A notable exception is a change in method for estimating emissions from </w:t>
      </w:r>
      <w:r w:rsidR="00607BA0">
        <w:t xml:space="preserve">the transportation sector.  The </w:t>
      </w:r>
      <w:r w:rsidR="00607BA0">
        <w:lastRenderedPageBreak/>
        <w:t xml:space="preserve">latest inventory </w:t>
      </w:r>
      <w:r w:rsidR="00F10564">
        <w:t xml:space="preserve">uses data on fuel sales from the Joint Fiscal Office </w:t>
      </w:r>
      <w:r w:rsidR="00D66F8F">
        <w:t>as a basis for estimating transportation sector emissions, whereas p</w:t>
      </w:r>
      <w:r w:rsidR="00607BA0">
        <w:t xml:space="preserve">rior inventories used </w:t>
      </w:r>
      <w:r w:rsidR="004A685F">
        <w:t xml:space="preserve">methods based on estimates of vehicle miles travelled (VMT).  </w:t>
      </w:r>
      <w:r w:rsidR="00527D18">
        <w:t>The switch to fuel sales data was made to provide estimates that are more readily</w:t>
      </w:r>
      <w:r w:rsidR="00E74E7C">
        <w:t xml:space="preserve"> calculated on a regular basis, and that reflect </w:t>
      </w:r>
      <w:r w:rsidR="009974B0">
        <w:t xml:space="preserve">guidance from the IPCC on estimating fuel consumption for the transportation sector.  </w:t>
      </w:r>
      <w:r w:rsidR="000B52A3">
        <w:t xml:space="preserve"> </w:t>
      </w:r>
    </w:p>
    <w:p w14:paraId="6431169A" w14:textId="7362D918" w:rsidR="00962ACF" w:rsidRDefault="001A7953" w:rsidP="00091B72">
      <w:r>
        <w:t>Appendix Table A-</w:t>
      </w:r>
      <w:r w:rsidR="00DD2DFF">
        <w:t>1</w:t>
      </w:r>
      <w:r>
        <w:t xml:space="preserve"> provides a summary of the primary methods and data as well as supporting methods and data for each sector in the Vermont inventory.  </w:t>
      </w:r>
      <w:r w:rsidR="00EA3BCA">
        <w:t xml:space="preserve">The EPA and IPCC guidance on inventory development recommend the use of key category analysis to identify the sectors, and the categories within each sector, with the most importance for each </w:t>
      </w:r>
      <w:r w:rsidR="00974220">
        <w:t>jurisdiction.</w:t>
      </w:r>
      <w:r w:rsidR="00000B1C">
        <w:rPr>
          <w:rStyle w:val="FootnoteReference"/>
        </w:rPr>
        <w:footnoteReference w:id="4"/>
      </w:r>
      <w:r w:rsidR="00974220">
        <w:t xml:space="preserve">  </w:t>
      </w:r>
      <w:r w:rsidR="00B419DF">
        <w:t xml:space="preserve">Key category analyses can be conducted on the scale, trends, and uncertainty for individual categories.  </w:t>
      </w:r>
      <w:r w:rsidR="00752E64">
        <w:t xml:space="preserve">We recommend key category analyses be added to Vermont’s inventory, and provide </w:t>
      </w:r>
      <w:r w:rsidR="00AC2D12">
        <w:t xml:space="preserve">scale and trend key category </w:t>
      </w:r>
      <w:r w:rsidR="001B216F">
        <w:t>example</w:t>
      </w:r>
      <w:r w:rsidR="006C44F2">
        <w:t>s</w:t>
      </w:r>
      <w:r w:rsidR="001B216F">
        <w:t xml:space="preserve"> </w:t>
      </w:r>
      <w:r w:rsidR="00AC2D12">
        <w:t xml:space="preserve">in Appendix </w:t>
      </w:r>
      <w:r w:rsidR="006F0C2B">
        <w:t>C</w:t>
      </w:r>
      <w:r w:rsidR="00AC2D12">
        <w:t xml:space="preserve">. </w:t>
      </w:r>
      <w:r w:rsidR="001B216F">
        <w:t xml:space="preserve"> </w:t>
      </w:r>
      <w:r w:rsidR="00B419DF">
        <w:t xml:space="preserve"> </w:t>
      </w:r>
    </w:p>
    <w:p w14:paraId="30309DAF" w14:textId="1BCCC1B6" w:rsidR="003819DE" w:rsidRDefault="00653352" w:rsidP="00091B72">
      <w:pPr>
        <w:pStyle w:val="Heading2"/>
      </w:pPr>
      <w:bookmarkStart w:id="7" w:name="_Toc78869932"/>
      <w:r>
        <w:t>Comparison</w:t>
      </w:r>
      <w:r w:rsidR="00373725">
        <w:t>s</w:t>
      </w:r>
      <w:r>
        <w:t xml:space="preserve"> to </w:t>
      </w:r>
      <w:r w:rsidR="00373725">
        <w:t xml:space="preserve">Guidelines and Select </w:t>
      </w:r>
      <w:r>
        <w:t>Other</w:t>
      </w:r>
      <w:r w:rsidR="00373725">
        <w:t xml:space="preserve"> States</w:t>
      </w:r>
      <w:bookmarkEnd w:id="7"/>
    </w:p>
    <w:p w14:paraId="66F4C6EE" w14:textId="7EB3EC90" w:rsidR="004F0B22" w:rsidRDefault="00D102D1" w:rsidP="00091B72">
      <w:r>
        <w:t xml:space="preserve">The methods and presentation of Vermont’s GHG inventory are broadly consistent with the practices of three states (California, </w:t>
      </w:r>
      <w:r w:rsidR="004F0B22">
        <w:t xml:space="preserve">Massachusetts, and New York) </w:t>
      </w:r>
      <w:r w:rsidR="00415D16">
        <w:t>with</w:t>
      </w:r>
      <w:r w:rsidR="004F0B22">
        <w:t xml:space="preserve"> similar legislative and planning objectives for </w:t>
      </w:r>
      <w:r w:rsidR="006664CC">
        <w:t xml:space="preserve">GHG emissions </w:t>
      </w:r>
      <w:r w:rsidR="004F0B22">
        <w:t>reduction</w:t>
      </w:r>
      <w:r w:rsidR="006664CC">
        <w:t>s.</w:t>
      </w:r>
      <w:r w:rsidR="004F0B22">
        <w:t xml:space="preserve">  </w:t>
      </w:r>
      <w:r w:rsidR="004B4A9B">
        <w:t xml:space="preserve">Appendix B </w:t>
      </w:r>
      <w:r w:rsidR="007570B3">
        <w:t xml:space="preserve">provides a crosswalk table </w:t>
      </w:r>
      <w:r w:rsidR="006664CC">
        <w:t xml:space="preserve">comparing Vermont’s </w:t>
      </w:r>
      <w:r w:rsidR="00A5407D">
        <w:t xml:space="preserve">inventory methods </w:t>
      </w:r>
      <w:r w:rsidR="006664CC">
        <w:t>with</w:t>
      </w:r>
      <w:r w:rsidR="00A5407D">
        <w:t xml:space="preserve"> these three states </w:t>
      </w:r>
      <w:r w:rsidR="006F0C2B">
        <w:t xml:space="preserve">and the U.S. National Inventory </w:t>
      </w:r>
      <w:r w:rsidR="00A5407D">
        <w:t xml:space="preserve">across </w:t>
      </w:r>
      <w:r w:rsidR="007570B3">
        <w:t xml:space="preserve">twenty-five </w:t>
      </w:r>
      <w:r w:rsidR="001B6C31">
        <w:t xml:space="preserve">topical dimensions.  </w:t>
      </w:r>
      <w:r w:rsidR="005378F5">
        <w:t xml:space="preserve">While there are some differences in the details, </w:t>
      </w:r>
      <w:r w:rsidR="006664CC">
        <w:t xml:space="preserve">all </w:t>
      </w:r>
      <w:r w:rsidR="005378F5">
        <w:t xml:space="preserve">four inventories follow the basic inventory guidelines and practices provided by the EPA and IPCC.  </w:t>
      </w:r>
      <w:r w:rsidR="001B6C31">
        <w:t xml:space="preserve"> </w:t>
      </w:r>
    </w:p>
    <w:p w14:paraId="7F338DB0" w14:textId="55F79965" w:rsidR="00805C43" w:rsidRDefault="00CA3AB9" w:rsidP="00091B72">
      <w:r>
        <w:t>For a</w:t>
      </w:r>
      <w:r w:rsidR="00F81EEC">
        <w:t>nother comparative analysis</w:t>
      </w:r>
      <w:r>
        <w:t xml:space="preserve"> we reviewed consumption</w:t>
      </w:r>
      <w:r w:rsidR="00C71838">
        <w:t>-</w:t>
      </w:r>
      <w:r>
        <w:t>based emissions inventor</w:t>
      </w:r>
      <w:r w:rsidR="003A2E0F">
        <w:t xml:space="preserve">y </w:t>
      </w:r>
      <w:r w:rsidR="0019778B">
        <w:t xml:space="preserve">(CBEI) </w:t>
      </w:r>
      <w:r w:rsidR="003A2E0F">
        <w:t xml:space="preserve">methods, research and results conducted in Minnesota and Oregon.  </w:t>
      </w:r>
      <w:r w:rsidR="0019778B">
        <w:t>The</w:t>
      </w:r>
      <w:r w:rsidR="000E1C4E">
        <w:t xml:space="preserve"> CBEI </w:t>
      </w:r>
      <w:r w:rsidR="00CF4762">
        <w:t>approach</w:t>
      </w:r>
      <w:r w:rsidR="000E1C4E">
        <w:t xml:space="preserve"> </w:t>
      </w:r>
      <w:r w:rsidR="00CF4762">
        <w:t>is</w:t>
      </w:r>
      <w:r w:rsidR="000E1C4E">
        <w:t xml:space="preserve"> designed to </w:t>
      </w:r>
      <w:r w:rsidR="00324534" w:rsidRPr="005C341E">
        <w:t>account for emissions from products manufactured outside of the jurisdictions and consumed within the jurisdiction</w:t>
      </w:r>
      <w:r w:rsidR="000A0E7A">
        <w:t xml:space="preserve">. </w:t>
      </w:r>
      <w:r w:rsidR="001C12D1">
        <w:t xml:space="preserve">Emissions under this method are based on allocating emissions from production of goods and services to the consumer.  </w:t>
      </w:r>
      <w:r w:rsidR="000F06D6" w:rsidRPr="000F06D6">
        <w:t xml:space="preserve">Differences in methodology result in differences in greenhouse gas emission results between sector-based and consumption-based inventories. For example, in Oregon in 2015, sector-based emissions were 63 </w:t>
      </w:r>
      <w:r w:rsidR="002D2D8D">
        <w:t xml:space="preserve">million metric </w:t>
      </w:r>
      <w:proofErr w:type="spellStart"/>
      <w:r w:rsidR="002D2D8D">
        <w:t>tonnes</w:t>
      </w:r>
      <w:proofErr w:type="spellEnd"/>
      <w:r w:rsidR="002D2D8D">
        <w:t xml:space="preserve"> of carbon dioxide equivalent (</w:t>
      </w:r>
      <w:r w:rsidR="000F06D6" w:rsidRPr="000F06D6">
        <w:t>MTCO2e</w:t>
      </w:r>
      <w:r w:rsidR="002D2D8D">
        <w:t>)</w:t>
      </w:r>
      <w:r w:rsidR="000F06D6" w:rsidRPr="000F06D6">
        <w:t xml:space="preserve"> while consumption-based emissions in 2015 were 89</w:t>
      </w:r>
      <w:r w:rsidR="00D53097">
        <w:t xml:space="preserve"> </w:t>
      </w:r>
      <w:r w:rsidR="000F06D6" w:rsidRPr="000F06D6">
        <w:t>MTCO2e. The consumption-based inventory resulted in an accounting of about 41% higher emissions than the sector-based method.</w:t>
      </w:r>
    </w:p>
    <w:p w14:paraId="5DE145AF" w14:textId="6743DB58" w:rsidR="00911AD6" w:rsidRDefault="00DE26E6" w:rsidP="00091B72">
      <w:r>
        <w:lastRenderedPageBreak/>
        <w:t>B</w:t>
      </w:r>
      <w:r w:rsidR="00E73A7A" w:rsidRPr="00DD2B72">
        <w:t>oth Oregon and Minnesota consider their consumption-based inventories to be complementary to their sector-based or in-boundary inventories</w:t>
      </w:r>
      <w:r w:rsidR="005B43DB">
        <w:t xml:space="preserve"> and consider</w:t>
      </w:r>
      <w:r w:rsidR="00E73A7A" w:rsidRPr="00DD2B72">
        <w:t xml:space="preserve"> the consumption-based inventory </w:t>
      </w:r>
      <w:r w:rsidR="005B43DB">
        <w:t xml:space="preserve">as a </w:t>
      </w:r>
      <w:r w:rsidR="00E73A7A" w:rsidRPr="00DD2B72">
        <w:t>supplement</w:t>
      </w:r>
      <w:r w:rsidR="00232964">
        <w:t xml:space="preserve"> to</w:t>
      </w:r>
      <w:r w:rsidR="005B43DB">
        <w:t>, rather than a replacement</w:t>
      </w:r>
      <w:r w:rsidR="00232964">
        <w:t xml:space="preserve"> of,</w:t>
      </w:r>
      <w:r w:rsidR="00E73A7A" w:rsidRPr="00DD2B72">
        <w:t xml:space="preserve"> the sector-based inventory.</w:t>
      </w:r>
    </w:p>
    <w:p w14:paraId="5EBCE402" w14:textId="4EC2D6FF" w:rsidR="00DF7233" w:rsidRDefault="00146461" w:rsidP="00091B72">
      <w:r>
        <w:t>If adopted in Vermont</w:t>
      </w:r>
      <w:r w:rsidR="00AF777C">
        <w:t>,</w:t>
      </w:r>
      <w:r>
        <w:t xml:space="preserve"> a</w:t>
      </w:r>
      <w:r w:rsidR="000A0E7A">
        <w:t xml:space="preserve"> CBEI </w:t>
      </w:r>
      <w:r>
        <w:t>could</w:t>
      </w:r>
      <w:r w:rsidR="000A0E7A">
        <w:t xml:space="preserve"> account for emissions from the upstream production of </w:t>
      </w:r>
      <w:r w:rsidR="006107C7">
        <w:t xml:space="preserve">products </w:t>
      </w:r>
      <w:r w:rsidR="000B55BB">
        <w:t>(</w:t>
      </w:r>
      <w:r w:rsidR="00145536">
        <w:t>including items such as</w:t>
      </w:r>
      <w:r w:rsidR="000B55BB">
        <w:t xml:space="preserve"> electric vehicles </w:t>
      </w:r>
      <w:r w:rsidR="00145536">
        <w:t xml:space="preserve">or heat pumps) </w:t>
      </w:r>
      <w:r w:rsidR="006107C7">
        <w:t xml:space="preserve">imported to </w:t>
      </w:r>
      <w:r w:rsidR="00145536">
        <w:t>Vermont</w:t>
      </w:r>
      <w:r w:rsidR="001B29F2">
        <w:t xml:space="preserve">.  </w:t>
      </w:r>
      <w:r w:rsidR="003A4B5E">
        <w:t>To be complete, t</w:t>
      </w:r>
      <w:r w:rsidR="008C2131">
        <w:t xml:space="preserve">he upstream emissions for </w:t>
      </w:r>
      <w:r w:rsidR="00A96A53">
        <w:t xml:space="preserve">the </w:t>
      </w:r>
      <w:r w:rsidR="008C2131">
        <w:t>production</w:t>
      </w:r>
      <w:r w:rsidR="00294843">
        <w:t>,</w:t>
      </w:r>
      <w:r w:rsidR="00294843" w:rsidRPr="005C341E">
        <w:t xml:space="preserve"> transport</w:t>
      </w:r>
      <w:r w:rsidR="00294843">
        <w:t>ation</w:t>
      </w:r>
      <w:r w:rsidR="00294843" w:rsidRPr="005C341E">
        <w:t>, us</w:t>
      </w:r>
      <w:r w:rsidR="00294843">
        <w:t>e</w:t>
      </w:r>
      <w:r w:rsidR="00294843" w:rsidRPr="005C341E">
        <w:t>, and dispos</w:t>
      </w:r>
      <w:r w:rsidR="00294843">
        <w:t>al</w:t>
      </w:r>
      <w:r w:rsidR="00294843" w:rsidRPr="005C341E">
        <w:t xml:space="preserve"> of a</w:t>
      </w:r>
      <w:r w:rsidR="00125D9F">
        <w:t>ny</w:t>
      </w:r>
      <w:r w:rsidR="00294843" w:rsidRPr="005C341E">
        <w:t xml:space="preserve"> commodity</w:t>
      </w:r>
      <w:r w:rsidR="00125D9F">
        <w:t xml:space="preserve"> would</w:t>
      </w:r>
      <w:r w:rsidR="008C2131">
        <w:t xml:space="preserve"> </w:t>
      </w:r>
      <w:r w:rsidR="0099783A">
        <w:t xml:space="preserve">be accounted for in a CBEI.  </w:t>
      </w:r>
      <w:r w:rsidR="00B83676">
        <w:t xml:space="preserve">Ideally, the CBEI approach </w:t>
      </w:r>
      <w:r w:rsidR="00324534" w:rsidRPr="005C341E">
        <w:t xml:space="preserve">allows for a fuller understanding of the true impact of </w:t>
      </w:r>
      <w:r w:rsidR="00842256">
        <w:t xml:space="preserve">policy and consumer decisions </w:t>
      </w:r>
      <w:r w:rsidR="00B83676">
        <w:t>made within Vermont</w:t>
      </w:r>
      <w:r w:rsidR="00324534" w:rsidRPr="005C341E">
        <w:t xml:space="preserve"> on global climate change. </w:t>
      </w:r>
      <w:r w:rsidR="0019778B">
        <w:t xml:space="preserve"> </w:t>
      </w:r>
      <w:r w:rsidR="00F81EEC">
        <w:t xml:space="preserve"> </w:t>
      </w:r>
      <w:r w:rsidR="00C73940">
        <w:t xml:space="preserve">  </w:t>
      </w:r>
    </w:p>
    <w:p w14:paraId="26C51F7D" w14:textId="5D51B6D7" w:rsidR="00653352" w:rsidRDefault="00653352" w:rsidP="00653352">
      <w:pPr>
        <w:pStyle w:val="Heading2"/>
      </w:pPr>
      <w:bookmarkStart w:id="8" w:name="_Toc78869933"/>
      <w:r>
        <w:t xml:space="preserve">Issues and </w:t>
      </w:r>
      <w:r w:rsidR="00F4035B">
        <w:t>Opportunities</w:t>
      </w:r>
      <w:bookmarkEnd w:id="8"/>
    </w:p>
    <w:p w14:paraId="213FC8A0" w14:textId="27D6CE3C" w:rsidR="00782172" w:rsidRDefault="006E0343" w:rsidP="00653352">
      <w:r>
        <w:t xml:space="preserve">Inventory methods and approaches </w:t>
      </w:r>
      <w:r w:rsidR="006B455B">
        <w:t xml:space="preserve">need to remain open to </w:t>
      </w:r>
      <w:r w:rsidR="00D07E04">
        <w:t xml:space="preserve">changes </w:t>
      </w:r>
      <w:r w:rsidR="00503612">
        <w:t xml:space="preserve">in response to </w:t>
      </w:r>
      <w:r w:rsidR="002C6452">
        <w:t xml:space="preserve">new data, new issues, or methodological or science advances leading to new accounting.  </w:t>
      </w:r>
      <w:r w:rsidR="00F659B1">
        <w:t>The methodolog</w:t>
      </w:r>
      <w:r w:rsidR="00230207">
        <w:t>y</w:t>
      </w:r>
      <w:r w:rsidR="00F659B1">
        <w:t xml:space="preserve"> for </w:t>
      </w:r>
      <w:r w:rsidR="00782172">
        <w:t xml:space="preserve">Vermont’s 2019 Inventory </w:t>
      </w:r>
      <w:r w:rsidR="00F659B1">
        <w:t>w</w:t>
      </w:r>
      <w:r w:rsidR="00230207">
        <w:t>as</w:t>
      </w:r>
      <w:r w:rsidR="00782172">
        <w:t xml:space="preserve"> changed in the transportation sector</w:t>
      </w:r>
      <w:r w:rsidR="00077237">
        <w:t>, which now</w:t>
      </w:r>
      <w:r w:rsidR="00782172">
        <w:t xml:space="preserve"> </w:t>
      </w:r>
      <w:r w:rsidR="00F659B1">
        <w:t>rel</w:t>
      </w:r>
      <w:r w:rsidR="00077237">
        <w:t>ies</w:t>
      </w:r>
      <w:r w:rsidR="009475AE">
        <w:t xml:space="preserve"> on fuel sales data as opposed to past </w:t>
      </w:r>
      <w:r w:rsidR="00F659B1">
        <w:t xml:space="preserve">inventories </w:t>
      </w:r>
      <w:r w:rsidR="004579EE">
        <w:t xml:space="preserve">which </w:t>
      </w:r>
      <w:r w:rsidR="00F659B1">
        <w:t>relied more on</w:t>
      </w:r>
      <w:r w:rsidR="004579EE">
        <w:t xml:space="preserve"> data</w:t>
      </w:r>
      <w:r w:rsidR="00F659B1">
        <w:t xml:space="preserve"> and estimates of</w:t>
      </w:r>
      <w:r w:rsidR="004579EE">
        <w:t xml:space="preserve"> vehicle miles travelled by vehicle class.  The revised method </w:t>
      </w:r>
      <w:r w:rsidR="00F659B1">
        <w:t>benefits from data that are more</w:t>
      </w:r>
      <w:r w:rsidR="004579EE">
        <w:t xml:space="preserve"> readily available and updated on an annual basis. </w:t>
      </w:r>
      <w:r w:rsidR="002C6452">
        <w:t>When changes are considered, it is important to consider how any new methods may need to be applied retroactively</w:t>
      </w:r>
      <w:r w:rsidR="00782172">
        <w:t xml:space="preserve"> to historic inventories to re-estimate target baselines.  Alternatively, there may be a need or explicit objective to establish new targets and apply new methods from a newly established baseline using the new methodologies.  </w:t>
      </w:r>
    </w:p>
    <w:p w14:paraId="192A5B18" w14:textId="76B28B77" w:rsidR="00C7192E" w:rsidRDefault="007B091B" w:rsidP="00653352">
      <w:r>
        <w:t>Stakeholders</w:t>
      </w:r>
      <w:r w:rsidR="00A02B6E">
        <w:t xml:space="preserve">, including members of the VCC subcommittees and participating members of the public, </w:t>
      </w:r>
      <w:r>
        <w:t>have</w:t>
      </w:r>
      <w:r w:rsidR="00590890">
        <w:t xml:space="preserve"> identified a range of issues, and potential modifications </w:t>
      </w:r>
      <w:r w:rsidR="00276CEE">
        <w:t xml:space="preserve">for Vermont’s GHG Inventory through </w:t>
      </w:r>
      <w:r w:rsidR="000452CC">
        <w:t>formal comments and as feedback during various Climate Council subcommittee meetings.</w:t>
      </w:r>
      <w:r w:rsidR="0091481C">
        <w:rPr>
          <w:rStyle w:val="FootnoteReference"/>
        </w:rPr>
        <w:footnoteReference w:id="5"/>
      </w:r>
      <w:r w:rsidR="000452CC">
        <w:t xml:space="preserve">  </w:t>
      </w:r>
      <w:r w:rsidR="00C7192E">
        <w:t>Stakeholder r</w:t>
      </w:r>
      <w:r w:rsidR="00673508">
        <w:t>ecommendations for key items to be addressed in</w:t>
      </w:r>
      <w:r w:rsidR="00C7192E">
        <w:t xml:space="preserve"> the current or future inventories include: </w:t>
      </w:r>
    </w:p>
    <w:p w14:paraId="53158817" w14:textId="436452BE" w:rsidR="00CA5C79" w:rsidRDefault="00920A1A" w:rsidP="00B6461F">
      <w:pPr>
        <w:pStyle w:val="ListParagraph"/>
        <w:numPr>
          <w:ilvl w:val="0"/>
          <w:numId w:val="36"/>
        </w:numPr>
      </w:pPr>
      <w:r>
        <w:t>Adopt a Comprehensive Carbon Footprint Accounting</w:t>
      </w:r>
    </w:p>
    <w:p w14:paraId="7AC71C8F" w14:textId="3A9D52DC" w:rsidR="00920A1A" w:rsidRDefault="00920A1A" w:rsidP="00920A1A">
      <w:pPr>
        <w:pStyle w:val="ListParagraph"/>
        <w:numPr>
          <w:ilvl w:val="1"/>
          <w:numId w:val="36"/>
        </w:numPr>
      </w:pPr>
      <w:r>
        <w:t>Cit</w:t>
      </w:r>
      <w:r w:rsidR="00A54C78">
        <w:t>es</w:t>
      </w:r>
      <w:r>
        <w:t xml:space="preserve"> life-cycle </w:t>
      </w:r>
      <w:r w:rsidR="00A54C78">
        <w:t>accounting language in the GWSA statute,</w:t>
      </w:r>
      <w:r w:rsidR="00882E6A">
        <w:t xml:space="preserve"> advocates for consumption</w:t>
      </w:r>
      <w:r w:rsidR="00470DEB">
        <w:t>-</w:t>
      </w:r>
      <w:r w:rsidR="00882E6A">
        <w:t xml:space="preserve">based and upstream accounting for emissions as complement to </w:t>
      </w:r>
      <w:r w:rsidR="00995398">
        <w:t xml:space="preserve">current sector-based accounting. </w:t>
      </w:r>
      <w:r w:rsidR="00995398">
        <w:br/>
      </w:r>
    </w:p>
    <w:p w14:paraId="37AF14E8" w14:textId="33371226" w:rsidR="00995398" w:rsidRDefault="00A67552" w:rsidP="00995398">
      <w:pPr>
        <w:pStyle w:val="ListParagraph"/>
        <w:numPr>
          <w:ilvl w:val="0"/>
          <w:numId w:val="36"/>
        </w:numPr>
      </w:pPr>
      <w:r>
        <w:t xml:space="preserve">Modify </w:t>
      </w:r>
      <w:r w:rsidR="00FA067B">
        <w:t>Global Warming Potential</w:t>
      </w:r>
      <w:r>
        <w:t xml:space="preserve"> for Methane</w:t>
      </w:r>
    </w:p>
    <w:p w14:paraId="62C00CF3" w14:textId="6A9427C5" w:rsidR="00A67552" w:rsidRDefault="00B74118" w:rsidP="00A67552">
      <w:pPr>
        <w:pStyle w:val="ListParagraph"/>
        <w:numPr>
          <w:ilvl w:val="1"/>
          <w:numId w:val="36"/>
        </w:numPr>
      </w:pPr>
      <w:r>
        <w:lastRenderedPageBreak/>
        <w:t xml:space="preserve">Assess the GWP for Methane based on a 20-year lifetime to account for the </w:t>
      </w:r>
      <w:r w:rsidR="00075D55">
        <w:t>higher near</w:t>
      </w:r>
      <w:r w:rsidR="00EB0D98">
        <w:t>-</w:t>
      </w:r>
      <w:r w:rsidR="00075D55">
        <w:t xml:space="preserve">term impacts of gas. </w:t>
      </w:r>
      <w:r w:rsidR="00075D55">
        <w:br/>
      </w:r>
    </w:p>
    <w:p w14:paraId="6BF40EBA" w14:textId="7678E014" w:rsidR="00075D55" w:rsidRDefault="00075D55" w:rsidP="00075D55">
      <w:pPr>
        <w:pStyle w:val="ListParagraph"/>
        <w:numPr>
          <w:ilvl w:val="0"/>
          <w:numId w:val="36"/>
        </w:numPr>
      </w:pPr>
      <w:r>
        <w:t>Account for the Upstream Emissions of Purchased Fossil Fuels</w:t>
      </w:r>
    </w:p>
    <w:p w14:paraId="163963BE" w14:textId="33469D9E" w:rsidR="00075D55" w:rsidRDefault="001268F0" w:rsidP="00075D55">
      <w:pPr>
        <w:pStyle w:val="ListParagraph"/>
        <w:numPr>
          <w:ilvl w:val="1"/>
          <w:numId w:val="36"/>
        </w:numPr>
      </w:pPr>
      <w:r>
        <w:t xml:space="preserve">Assign and account for upstream emissions with the production, processing, and transportation of purchased fossil fuels. </w:t>
      </w:r>
      <w:r w:rsidR="00EB0D98">
        <w:br/>
      </w:r>
    </w:p>
    <w:p w14:paraId="44E14F7E" w14:textId="67FFD671" w:rsidR="0056388B" w:rsidRDefault="00E9526A" w:rsidP="0056388B">
      <w:pPr>
        <w:pStyle w:val="ListParagraph"/>
        <w:numPr>
          <w:ilvl w:val="0"/>
          <w:numId w:val="36"/>
        </w:numPr>
      </w:pPr>
      <w:r>
        <w:t>Modify Accounting for Emissions from Regional Electric Grid</w:t>
      </w:r>
    </w:p>
    <w:p w14:paraId="5CD2A77B" w14:textId="6F49108B" w:rsidR="00E9526A" w:rsidRDefault="00365B5A" w:rsidP="00E9526A">
      <w:pPr>
        <w:pStyle w:val="ListParagraph"/>
        <w:numPr>
          <w:ilvl w:val="1"/>
          <w:numId w:val="36"/>
        </w:numPr>
      </w:pPr>
      <w:r>
        <w:t xml:space="preserve">Recommend emissions from the regional grid be adjusted upwards to reflect associated upstream gas </w:t>
      </w:r>
      <w:r w:rsidR="001471FE">
        <w:t>emissions and transmission system losses,</w:t>
      </w:r>
    </w:p>
    <w:p w14:paraId="610C854D" w14:textId="1EAFF24D" w:rsidR="001471FE" w:rsidRDefault="001471FE" w:rsidP="00E9526A">
      <w:pPr>
        <w:pStyle w:val="ListParagraph"/>
        <w:numPr>
          <w:ilvl w:val="1"/>
          <w:numId w:val="36"/>
        </w:numPr>
      </w:pPr>
      <w:r>
        <w:t xml:space="preserve">Base emissions on monthly mix and </w:t>
      </w:r>
      <w:r w:rsidR="00445A22">
        <w:t>do not adjust for Renewable Energy Credits</w:t>
      </w:r>
      <w:r w:rsidR="00445A22">
        <w:br/>
      </w:r>
    </w:p>
    <w:p w14:paraId="5EEF3B09" w14:textId="76FDCA33" w:rsidR="00445A22" w:rsidRDefault="00F12CBF" w:rsidP="00445A22">
      <w:pPr>
        <w:pStyle w:val="ListParagraph"/>
        <w:numPr>
          <w:ilvl w:val="0"/>
          <w:numId w:val="36"/>
        </w:numPr>
      </w:pPr>
      <w:r>
        <w:t>Land Use Carbon Footprint Accounting</w:t>
      </w:r>
    </w:p>
    <w:p w14:paraId="01430097" w14:textId="2B100AEE" w:rsidR="00F12CBF" w:rsidRDefault="00F12CBF" w:rsidP="00F12CBF">
      <w:pPr>
        <w:pStyle w:val="ListParagraph"/>
        <w:numPr>
          <w:ilvl w:val="1"/>
          <w:numId w:val="36"/>
        </w:numPr>
      </w:pPr>
      <w:r>
        <w:t xml:space="preserve">Do not permit land use </w:t>
      </w:r>
      <w:r w:rsidR="005A48B8">
        <w:t xml:space="preserve">carbon offsets to </w:t>
      </w:r>
      <w:r w:rsidR="00BB2A0F">
        <w:t>offset energy related GHG emissions.</w:t>
      </w:r>
      <w:r w:rsidR="00BB2A0F">
        <w:br/>
      </w:r>
    </w:p>
    <w:p w14:paraId="21800350" w14:textId="6CD9267F" w:rsidR="00BB2A0F" w:rsidRDefault="00CE4C60" w:rsidP="00BB2A0F">
      <w:pPr>
        <w:pStyle w:val="ListParagraph"/>
        <w:numPr>
          <w:ilvl w:val="0"/>
          <w:numId w:val="36"/>
        </w:numPr>
      </w:pPr>
      <w:r>
        <w:t>Account for Upstream Biofuel Impacts</w:t>
      </w:r>
    </w:p>
    <w:p w14:paraId="61A6CCAC" w14:textId="2B41A821" w:rsidR="00CE4C60" w:rsidRDefault="00CE4C60" w:rsidP="00CE4C60">
      <w:pPr>
        <w:pStyle w:val="ListParagraph"/>
        <w:numPr>
          <w:ilvl w:val="1"/>
          <w:numId w:val="36"/>
        </w:numPr>
      </w:pPr>
      <w:r>
        <w:t xml:space="preserve">Including potential competing </w:t>
      </w:r>
      <w:r w:rsidR="004960BE">
        <w:t xml:space="preserve">and current land uses (and loss of sequestration) when calculating the emissions impacts of biofuels. </w:t>
      </w:r>
      <w:r w:rsidR="00F916E7">
        <w:br/>
      </w:r>
    </w:p>
    <w:p w14:paraId="10DBCAD7" w14:textId="11BBAE71" w:rsidR="00F916E7" w:rsidRDefault="00F916E7" w:rsidP="00F916E7">
      <w:pPr>
        <w:pStyle w:val="ListParagraph"/>
        <w:numPr>
          <w:ilvl w:val="0"/>
          <w:numId w:val="36"/>
        </w:numPr>
      </w:pPr>
      <w:r>
        <w:t>Hydropower Upstream GHG Emissions</w:t>
      </w:r>
    </w:p>
    <w:p w14:paraId="681FD0BB" w14:textId="72F87EAD" w:rsidR="00A42823" w:rsidRDefault="00A42823" w:rsidP="00A42823">
      <w:pPr>
        <w:pStyle w:val="ListParagraph"/>
        <w:numPr>
          <w:ilvl w:val="1"/>
          <w:numId w:val="36"/>
        </w:numPr>
      </w:pPr>
      <w:r>
        <w:t xml:space="preserve">Estimate </w:t>
      </w:r>
      <w:r w:rsidR="003F00EB">
        <w:t xml:space="preserve">the GHG emissions for large hydro projects, including changes to carbon and other GHG fluxes due to inundation and hydro project development. </w:t>
      </w:r>
    </w:p>
    <w:p w14:paraId="0427D565" w14:textId="3B302920" w:rsidR="00301353" w:rsidRDefault="00301353" w:rsidP="00F4035B">
      <w:pPr>
        <w:pStyle w:val="Heading2"/>
      </w:pPr>
      <w:bookmarkStart w:id="9" w:name="_Toc78869934"/>
      <w:r>
        <w:t>Key Findings</w:t>
      </w:r>
      <w:bookmarkEnd w:id="9"/>
    </w:p>
    <w:p w14:paraId="3BE67442" w14:textId="1E96AF4F" w:rsidR="0094069C" w:rsidRDefault="00A67671" w:rsidP="0094069C">
      <w:r>
        <w:t xml:space="preserve">Key findings from </w:t>
      </w:r>
      <w:r w:rsidR="00AA1E5B">
        <w:t>our</w:t>
      </w:r>
      <w:r>
        <w:t xml:space="preserve"> Inventory Review are:</w:t>
      </w:r>
    </w:p>
    <w:p w14:paraId="4DBF4117" w14:textId="6AE297EB" w:rsidR="00A67671" w:rsidRDefault="00A67671" w:rsidP="00A67671">
      <w:pPr>
        <w:pStyle w:val="ListParagraph"/>
        <w:numPr>
          <w:ilvl w:val="0"/>
          <w:numId w:val="37"/>
        </w:numPr>
      </w:pPr>
      <w:r>
        <w:t>Vermont’s current inventory method</w:t>
      </w:r>
      <w:r w:rsidR="008A54B6">
        <w:t>s</w:t>
      </w:r>
      <w:r>
        <w:t xml:space="preserve"> </w:t>
      </w:r>
      <w:r w:rsidR="008A54B6">
        <w:t>are</w:t>
      </w:r>
      <w:r>
        <w:t xml:space="preserve"> </w:t>
      </w:r>
      <w:r w:rsidR="00AA1E5B">
        <w:t xml:space="preserve">generally </w:t>
      </w:r>
      <w:r>
        <w:t>consistent with guidelines from the EPA, IPCC and with the practices of California, New York</w:t>
      </w:r>
      <w:r w:rsidR="004329F2">
        <w:t>,</w:t>
      </w:r>
      <w:r>
        <w:t xml:space="preserve"> and Massachusetts. </w:t>
      </w:r>
      <w:r w:rsidR="0033495F">
        <w:t xml:space="preserve"> </w:t>
      </w:r>
      <w:r w:rsidR="008A54B6">
        <w:t>They are</w:t>
      </w:r>
      <w:r w:rsidR="0033495F">
        <w:t xml:space="preserve"> also consistent with the primary inventory methods for Oregon and Minnesota.</w:t>
      </w:r>
      <w:r>
        <w:br/>
      </w:r>
    </w:p>
    <w:p w14:paraId="4A044B40" w14:textId="6446E272" w:rsidR="001C7BA0" w:rsidRDefault="001C7BA0" w:rsidP="001C7BA0">
      <w:pPr>
        <w:pStyle w:val="ListParagraph"/>
        <w:numPr>
          <w:ilvl w:val="0"/>
          <w:numId w:val="37"/>
        </w:numPr>
      </w:pPr>
      <w:r>
        <w:t xml:space="preserve">Vermont can demonstrate leadership in the development of an actionable Climate Action Plan, and its implementation based on the current GHG inventory, and its methods.  </w:t>
      </w:r>
      <w:r w:rsidR="00055819">
        <w:br/>
      </w:r>
    </w:p>
    <w:p w14:paraId="5DE4F038" w14:textId="2A70AB62" w:rsidR="00A67671" w:rsidRDefault="004329F2" w:rsidP="00A67671">
      <w:pPr>
        <w:pStyle w:val="ListParagraph"/>
        <w:numPr>
          <w:ilvl w:val="0"/>
          <w:numId w:val="37"/>
        </w:numPr>
      </w:pPr>
      <w:r>
        <w:t xml:space="preserve">Vermont’s current </w:t>
      </w:r>
      <w:r w:rsidR="00EB6B33">
        <w:t xml:space="preserve">sector-based </w:t>
      </w:r>
      <w:r>
        <w:t xml:space="preserve">inventory method does not </w:t>
      </w:r>
      <w:r w:rsidR="00A923F9">
        <w:t>represent, nor claim to be representing</w:t>
      </w:r>
      <w:r w:rsidR="00DB420C">
        <w:t>,</w:t>
      </w:r>
      <w:r w:rsidR="00A923F9">
        <w:t xml:space="preserve"> life cycle accounting of greenhouse gas emissions.  </w:t>
      </w:r>
      <w:r w:rsidR="001D52E4">
        <w:t xml:space="preserve">Upstream and lifecycle emissions can be </w:t>
      </w:r>
      <w:r w:rsidR="002310EB">
        <w:t xml:space="preserve">analyzed to inform decision making without necessarily including them </w:t>
      </w:r>
      <w:r w:rsidR="002310EB">
        <w:lastRenderedPageBreak/>
        <w:t xml:space="preserve">in </w:t>
      </w:r>
      <w:r w:rsidR="000E2B31">
        <w:t xml:space="preserve">the Inventory. </w:t>
      </w:r>
      <w:r w:rsidR="00DB420C">
        <w:br/>
      </w:r>
    </w:p>
    <w:p w14:paraId="3998003D" w14:textId="6A218014" w:rsidR="00804114" w:rsidRDefault="00DB420C" w:rsidP="00A67671">
      <w:pPr>
        <w:pStyle w:val="ListParagraph"/>
        <w:numPr>
          <w:ilvl w:val="0"/>
          <w:numId w:val="37"/>
        </w:numPr>
      </w:pPr>
      <w:r>
        <w:t xml:space="preserve">Supplemental approaches and analyses </w:t>
      </w:r>
      <w:r w:rsidR="00FB5D24">
        <w:t xml:space="preserve">are being used by other jurisdictions to complement </w:t>
      </w:r>
      <w:r w:rsidR="006F512E">
        <w:t xml:space="preserve">a sector-based inventory method.  Examples include CBEI in Oregon and Minnesota, and reporting on short-lived climate pollutant impacts </w:t>
      </w:r>
      <w:r w:rsidR="00804114">
        <w:t xml:space="preserve">(SLCP) in California. </w:t>
      </w:r>
      <w:r w:rsidR="00804114">
        <w:br/>
      </w:r>
    </w:p>
    <w:p w14:paraId="3B33D87D" w14:textId="01F6F9D1" w:rsidR="003B60CD" w:rsidRDefault="003B60CD" w:rsidP="003B60CD">
      <w:pPr>
        <w:pStyle w:val="ListParagraph"/>
        <w:numPr>
          <w:ilvl w:val="0"/>
          <w:numId w:val="37"/>
        </w:numPr>
      </w:pPr>
      <w:r>
        <w:t>There are important opportunities to complement the inventory with supplemental analyses to inform decision making and the development and implementation of mitigation policies, strategies, and actions.</w:t>
      </w:r>
      <w:r>
        <w:br/>
      </w:r>
    </w:p>
    <w:p w14:paraId="211FD3B3" w14:textId="77777777" w:rsidR="003B60CD" w:rsidRDefault="00804114" w:rsidP="00A67671">
      <w:pPr>
        <w:pStyle w:val="ListParagraph"/>
        <w:numPr>
          <w:ilvl w:val="0"/>
          <w:numId w:val="37"/>
        </w:numPr>
      </w:pPr>
      <w:r>
        <w:t xml:space="preserve">The IPCC, while not recommending lifecycle accounting as a greenhouse gas inventory method, does recommend lifecycle analyses, and consideration of impacts on emissions outside of jurisdictional </w:t>
      </w:r>
      <w:r w:rsidR="00D4460C">
        <w:t>boundaries,</w:t>
      </w:r>
      <w:r>
        <w:t xml:space="preserve"> as important elements in mitigation analyses. </w:t>
      </w:r>
      <w:r w:rsidR="003B60CD">
        <w:br/>
      </w:r>
    </w:p>
    <w:p w14:paraId="2D3DA829" w14:textId="77777777" w:rsidR="003B60CD" w:rsidRDefault="003B60CD" w:rsidP="003B60CD">
      <w:pPr>
        <w:pStyle w:val="ListParagraph"/>
        <w:numPr>
          <w:ilvl w:val="0"/>
          <w:numId w:val="37"/>
        </w:numPr>
      </w:pPr>
      <w:r>
        <w:t>The complexities of full life cycle inventory accounting and reporting are immense and could divert resources from inventory and mitigation efforts that have more direct and practical connections to actions that reduce emissions.</w:t>
      </w:r>
      <w:r>
        <w:br/>
      </w:r>
    </w:p>
    <w:p w14:paraId="5D093CF0" w14:textId="0A60DF44" w:rsidR="003B60CD" w:rsidRDefault="003B60CD" w:rsidP="00BF7FBD">
      <w:pPr>
        <w:pStyle w:val="ListParagraph"/>
        <w:numPr>
          <w:ilvl w:val="0"/>
          <w:numId w:val="41"/>
        </w:numPr>
      </w:pPr>
      <w:r>
        <w:t xml:space="preserve">  Public awareness and education are foundational for inclusivity.</w:t>
      </w:r>
    </w:p>
    <w:p w14:paraId="258472F2" w14:textId="5D89B9A2" w:rsidR="00804114" w:rsidRDefault="00804114" w:rsidP="003B60CD">
      <w:pPr>
        <w:pStyle w:val="ListParagraph"/>
        <w:numPr>
          <w:ilvl w:val="0"/>
          <w:numId w:val="0"/>
        </w:numPr>
        <w:ind w:left="720"/>
      </w:pPr>
      <w:r>
        <w:br/>
      </w:r>
    </w:p>
    <w:p w14:paraId="6E29F827" w14:textId="41A672C9" w:rsidR="00412688" w:rsidRDefault="00412688" w:rsidP="00412688">
      <w:pPr>
        <w:pStyle w:val="Heading2"/>
      </w:pPr>
      <w:bookmarkStart w:id="10" w:name="_Toc78869935"/>
      <w:r w:rsidRPr="0053443C">
        <w:t>Recommendations</w:t>
      </w:r>
      <w:bookmarkEnd w:id="10"/>
    </w:p>
    <w:p w14:paraId="7B577F3C" w14:textId="08C94D37" w:rsidR="000D2FED" w:rsidRDefault="000D2FED" w:rsidP="00412688">
      <w:r>
        <w:t xml:space="preserve">Based on our </w:t>
      </w:r>
      <w:r w:rsidR="00960B71">
        <w:t xml:space="preserve">Task 1 </w:t>
      </w:r>
      <w:r>
        <w:t>research and the interactions we have had with the Climate Council Subcommittees and other stakeholders</w:t>
      </w:r>
      <w:r w:rsidR="00D75F44">
        <w:t>,</w:t>
      </w:r>
      <w:r>
        <w:t xml:space="preserve"> we offer the following recommendations for consideration of the ANR and the VCC.  </w:t>
      </w:r>
      <w:r w:rsidR="00992AC2">
        <w:t xml:space="preserve">These recommendations are </w:t>
      </w:r>
      <w:r w:rsidR="000F19EF">
        <w:t xml:space="preserve">those of the report authors, and do not necessarily reflect the views of all members of the technical consultant team.  </w:t>
      </w:r>
      <w:r>
        <w:t xml:space="preserve"> </w:t>
      </w:r>
    </w:p>
    <w:p w14:paraId="421C05B2" w14:textId="77777777" w:rsidR="003B60CD" w:rsidRDefault="003B60CD" w:rsidP="003B60CD">
      <w:pPr>
        <w:pStyle w:val="ListParagraph"/>
        <w:numPr>
          <w:ilvl w:val="0"/>
          <w:numId w:val="41"/>
        </w:numPr>
      </w:pPr>
      <w:r>
        <w:t xml:space="preserve">Vermont should maintain primary inventory consistency with international and national level guidelines and the practices of other leading states.  Vermont can contribute to the development and implementation of supplemental analyses at the same time. </w:t>
      </w:r>
    </w:p>
    <w:p w14:paraId="695C20A1" w14:textId="140855F4" w:rsidR="00AA7653" w:rsidRDefault="00AA7653" w:rsidP="00960B71">
      <w:pPr>
        <w:pStyle w:val="ListParagraph"/>
        <w:numPr>
          <w:ilvl w:val="0"/>
          <w:numId w:val="41"/>
        </w:numPr>
      </w:pPr>
      <w:r w:rsidRPr="006D4D6F">
        <w:t>The development and adoption of a CBEI for Vermont should not</w:t>
      </w:r>
      <w:r>
        <w:t>,</w:t>
      </w:r>
      <w:r w:rsidRPr="006D4D6F">
        <w:t xml:space="preserve"> and cannot</w:t>
      </w:r>
      <w:r>
        <w:t>,</w:t>
      </w:r>
      <w:r w:rsidRPr="006D4D6F">
        <w:t xml:space="preserve"> replace the</w:t>
      </w:r>
      <w:r>
        <w:t xml:space="preserve"> sector-based emissions inventory and the associated reporting.  The GWSA targets are based on the sector-based reporting, and Vermont should maintain a primary annual inventory reporting method and accounting that is consistent with national and international guidelines.</w:t>
      </w:r>
      <w:r w:rsidR="003575CF">
        <w:t xml:space="preserve">  </w:t>
      </w:r>
    </w:p>
    <w:p w14:paraId="4077590A" w14:textId="5CA02767" w:rsidR="00EA7F34" w:rsidRDefault="003074BA" w:rsidP="00960B71">
      <w:pPr>
        <w:pStyle w:val="ListParagraph"/>
        <w:numPr>
          <w:ilvl w:val="0"/>
          <w:numId w:val="41"/>
        </w:numPr>
      </w:pPr>
      <w:r>
        <w:lastRenderedPageBreak/>
        <w:t>Vermont should ackno</w:t>
      </w:r>
      <w:r w:rsidR="00960D35">
        <w:t>wledge</w:t>
      </w:r>
      <w:r w:rsidR="003575CF">
        <w:t xml:space="preserve"> the </w:t>
      </w:r>
      <w:r w:rsidR="00FC5989">
        <w:t>scope and ongoing scale</w:t>
      </w:r>
      <w:r w:rsidR="003575CF">
        <w:t xml:space="preserve"> </w:t>
      </w:r>
      <w:r w:rsidR="005A0CDA">
        <w:t xml:space="preserve">of scientific and international community efforts to create a complete and non-duplicative accounting framework.  </w:t>
      </w:r>
    </w:p>
    <w:p w14:paraId="72B6AEE5" w14:textId="30FC5B69" w:rsidR="00A649E6" w:rsidRDefault="002F4092" w:rsidP="002F4092">
      <w:pPr>
        <w:pStyle w:val="ListParagraph"/>
        <w:numPr>
          <w:ilvl w:val="0"/>
          <w:numId w:val="41"/>
        </w:numPr>
      </w:pPr>
      <w:r>
        <w:t>Clarify</w:t>
      </w:r>
      <w:r w:rsidR="00BE1032">
        <w:t>ing</w:t>
      </w:r>
      <w:r>
        <w:t xml:space="preserve"> and indicat</w:t>
      </w:r>
      <w:r w:rsidR="00BE1032">
        <w:t>ing</w:t>
      </w:r>
      <w:r>
        <w:t xml:space="preserve"> </w:t>
      </w:r>
      <w:r w:rsidR="00BE1032">
        <w:t xml:space="preserve">that </w:t>
      </w:r>
      <w:r>
        <w:t>the Inventory is not used for all purposes</w:t>
      </w:r>
      <w:r w:rsidR="00A84046">
        <w:t xml:space="preserve">, and that upstream emissions can be considered </w:t>
      </w:r>
      <w:r w:rsidR="003866B5">
        <w:t>without being counted in the inventory may</w:t>
      </w:r>
      <w:r w:rsidR="00442696">
        <w:t xml:space="preserve"> be helpful</w:t>
      </w:r>
      <w:r w:rsidR="00A649E6">
        <w:t>.</w:t>
      </w:r>
    </w:p>
    <w:p w14:paraId="65F74BAE" w14:textId="77777777" w:rsidR="00A649E6" w:rsidRDefault="00A649E6" w:rsidP="00960B71">
      <w:pPr>
        <w:pStyle w:val="ListParagraph"/>
        <w:numPr>
          <w:ilvl w:val="0"/>
          <w:numId w:val="41"/>
        </w:numPr>
      </w:pPr>
      <w:r>
        <w:t>Vermont should remain open to change as new data and methods emerge.</w:t>
      </w:r>
    </w:p>
    <w:p w14:paraId="5EAAC87D" w14:textId="77777777" w:rsidR="000F5760" w:rsidRDefault="00A649E6" w:rsidP="00960B71">
      <w:pPr>
        <w:pStyle w:val="ListParagraph"/>
        <w:numPr>
          <w:ilvl w:val="0"/>
          <w:numId w:val="41"/>
        </w:numPr>
      </w:pPr>
      <w:r>
        <w:t xml:space="preserve">Vermont should conduct and maintain key category analyses, and summary reporting by GHG.  </w:t>
      </w:r>
    </w:p>
    <w:p w14:paraId="74101747" w14:textId="75D74624" w:rsidR="00E77952" w:rsidRDefault="00A649E6" w:rsidP="00960B71">
      <w:pPr>
        <w:pStyle w:val="ListParagraph"/>
        <w:numPr>
          <w:ilvl w:val="0"/>
          <w:numId w:val="41"/>
        </w:numPr>
      </w:pPr>
      <w:r>
        <w:t xml:space="preserve">Each Inventory should also contain a sector-based summary of existing and emerging issues, possible changes to data and methods, and a discussion of supplemental analyses that can inform decision making. </w:t>
      </w:r>
    </w:p>
    <w:p w14:paraId="4D0F3D8F" w14:textId="43386F3E" w:rsidR="00BA4F09" w:rsidRDefault="00CE3ECF" w:rsidP="00960B71">
      <w:pPr>
        <w:pStyle w:val="ListParagraph"/>
        <w:numPr>
          <w:ilvl w:val="0"/>
          <w:numId w:val="41"/>
        </w:numPr>
      </w:pPr>
      <w:r>
        <w:t>Examples of</w:t>
      </w:r>
      <w:r w:rsidR="00934832">
        <w:t xml:space="preserve"> supplemental analyses </w:t>
      </w:r>
      <w:r>
        <w:t>include reporting on the</w:t>
      </w:r>
      <w:r w:rsidR="00934832">
        <w:t xml:space="preserve"> impacts from shorter time horizons and GWP modifications</w:t>
      </w:r>
      <w:r>
        <w:t xml:space="preserve"> for methane,</w:t>
      </w:r>
      <w:r w:rsidR="00B8764D">
        <w:t xml:space="preserve"> and </w:t>
      </w:r>
      <w:r>
        <w:t>accounting for upstream emissions from fossil fuels and hydro</w:t>
      </w:r>
      <w:r w:rsidR="00934832">
        <w:t xml:space="preserve">.  </w:t>
      </w:r>
      <w:r w:rsidR="00BA4F09">
        <w:t xml:space="preserve"> </w:t>
      </w:r>
    </w:p>
    <w:p w14:paraId="3210633E" w14:textId="0D4ECCA6" w:rsidR="0050181D" w:rsidRDefault="00CE3ECF" w:rsidP="00960B71">
      <w:pPr>
        <w:pStyle w:val="ListParagraph"/>
        <w:numPr>
          <w:ilvl w:val="0"/>
          <w:numId w:val="41"/>
        </w:numPr>
      </w:pPr>
      <w:r>
        <w:t>Literature and tools for l</w:t>
      </w:r>
      <w:r w:rsidR="0050181D">
        <w:t xml:space="preserve">ifecycle analyses </w:t>
      </w:r>
      <w:r w:rsidR="00FE45A9">
        <w:t>should</w:t>
      </w:r>
      <w:r w:rsidR="0050181D">
        <w:t xml:space="preserve"> be used </w:t>
      </w:r>
      <w:r>
        <w:t>to analyze the relative impacts of</w:t>
      </w:r>
      <w:r w:rsidR="0050181D">
        <w:t xml:space="preserve"> mitigation pathways </w:t>
      </w:r>
      <w:r w:rsidR="001C5DB7">
        <w:t>and consideration of policy and behavior without becoming the basis for the inventory.</w:t>
      </w:r>
      <w:r w:rsidR="00BD4477">
        <w:t xml:space="preserve">  </w:t>
      </w:r>
    </w:p>
    <w:p w14:paraId="470E4A92" w14:textId="232DC718" w:rsidR="00E803B4" w:rsidRDefault="00E803B4" w:rsidP="00960B71">
      <w:pPr>
        <w:pStyle w:val="ListParagraph"/>
        <w:numPr>
          <w:ilvl w:val="0"/>
          <w:numId w:val="41"/>
        </w:numPr>
      </w:pPr>
      <w:r>
        <w:t xml:space="preserve">Upstream emissions estimates </w:t>
      </w:r>
      <w:r w:rsidR="008E04AE">
        <w:t>should</w:t>
      </w:r>
      <w:r>
        <w:t xml:space="preserve"> be applied as sensitivities and to inform mitigation pathway analyses without being adopted as formal inventory protocols.  </w:t>
      </w:r>
    </w:p>
    <w:p w14:paraId="04552B6A" w14:textId="77777777" w:rsidR="00BF7FBD" w:rsidRDefault="003866B5" w:rsidP="00BF7FBD">
      <w:pPr>
        <w:pStyle w:val="ListParagraph"/>
        <w:numPr>
          <w:ilvl w:val="0"/>
          <w:numId w:val="41"/>
        </w:numPr>
      </w:pPr>
      <w:r>
        <w:t xml:space="preserve">Increased staffing and resources </w:t>
      </w:r>
      <w:r w:rsidR="009F0265">
        <w:t>devoted to maintaining, updating</w:t>
      </w:r>
      <w:r w:rsidR="001C7BA0">
        <w:t>,</w:t>
      </w:r>
      <w:r w:rsidR="009F0265">
        <w:t xml:space="preserve"> and communicating results from the Inventory are warranted.</w:t>
      </w:r>
      <w:r w:rsidR="001C5DB7">
        <w:t xml:space="preserve">  </w:t>
      </w:r>
    </w:p>
    <w:p w14:paraId="47076640" w14:textId="4CD4372A" w:rsidR="001C5DB7" w:rsidRPr="00412688" w:rsidRDefault="009F0265" w:rsidP="00BF7FBD">
      <w:pPr>
        <w:pStyle w:val="ListParagraph"/>
        <w:numPr>
          <w:ilvl w:val="0"/>
          <w:numId w:val="41"/>
        </w:numPr>
      </w:pPr>
      <w:r>
        <w:t>Increasing public u</w:t>
      </w:r>
      <w:r w:rsidR="001C5DB7">
        <w:t xml:space="preserve">nderstanding and familiarity </w:t>
      </w:r>
      <w:r>
        <w:t xml:space="preserve">with the Inventory will help with the development and implementation of mitigation policy action and strategies.  </w:t>
      </w:r>
    </w:p>
    <w:p w14:paraId="571CF5B1" w14:textId="77777777" w:rsidR="00523994" w:rsidRDefault="00523994">
      <w:pPr>
        <w:spacing w:after="160" w:line="259" w:lineRule="auto"/>
        <w:rPr>
          <w:rFonts w:asciiTheme="majorHAnsi" w:eastAsiaTheme="majorEastAsia" w:hAnsiTheme="majorHAnsi" w:cstheme="majorBidi"/>
          <w:b/>
          <w:color w:val="003F5F" w:themeColor="text2"/>
          <w:sz w:val="32"/>
          <w:szCs w:val="32"/>
        </w:rPr>
      </w:pPr>
      <w:r>
        <w:br w:type="page"/>
      </w:r>
    </w:p>
    <w:p w14:paraId="0455131F" w14:textId="7CCC070E" w:rsidR="00D16311" w:rsidRDefault="00001644" w:rsidP="00D16311">
      <w:pPr>
        <w:pStyle w:val="Heading1"/>
      </w:pPr>
      <w:bookmarkStart w:id="11" w:name="_Toc78869936"/>
      <w:r>
        <w:lastRenderedPageBreak/>
        <w:t>Vermont’s Greenhouse Gas Inventory</w:t>
      </w:r>
      <w:bookmarkEnd w:id="11"/>
      <w:r>
        <w:t xml:space="preserve"> </w:t>
      </w:r>
    </w:p>
    <w:p w14:paraId="129DDE8A" w14:textId="53841579" w:rsidR="00E23C07" w:rsidRDefault="009E13AB" w:rsidP="00E23C07">
      <w:pPr>
        <w:pStyle w:val="Heading2"/>
      </w:pPr>
      <w:bookmarkStart w:id="12" w:name="_Toc78869937"/>
      <w:r>
        <w:t>Statutory Authority</w:t>
      </w:r>
      <w:bookmarkEnd w:id="12"/>
      <w:r>
        <w:t xml:space="preserve"> </w:t>
      </w:r>
    </w:p>
    <w:p w14:paraId="2C3C94D7" w14:textId="3935EB78" w:rsidR="009E13AB" w:rsidRDefault="009E13AB" w:rsidP="00E23C07">
      <w:r w:rsidRPr="00E95541">
        <w:t xml:space="preserve">The Vermont Greenhouse Gas Emissions Inventory and Forecast reports are required in Vermont statute 10 V.S.A. § 582 to establish historic 1990 and 2005 baseline GHG levels and to track changes in emissions through time to determine progress toward the state’s GHG reduction targets as established in 10 V.S.A. § 578. Greenhouse gas reduction targets previously listed in 10 V.S.A. § 578 </w:t>
      </w:r>
      <w:r w:rsidR="00AA57F0">
        <w:t>were</w:t>
      </w:r>
      <w:r w:rsidRPr="00E95541">
        <w:t xml:space="preserve"> modified by the passage of the Global Warming Solutions Act (Act 153) in 2020. </w:t>
      </w:r>
      <w:r w:rsidR="00AA57F0">
        <w:t xml:space="preserve"> </w:t>
      </w:r>
      <w:r w:rsidRPr="00E95541">
        <w:t>The updated targets are now mandatory reductions of 26% below 2005 levels by 2025, 40% below 1990 levels by 2030, and 80% below 1990 levels by 2050.</w:t>
      </w:r>
    </w:p>
    <w:p w14:paraId="34BFE613" w14:textId="60175962" w:rsidR="00A27FC3" w:rsidRDefault="00D40680" w:rsidP="00E23C07">
      <w:r>
        <w:t>10 V.S.A. §582(g)</w:t>
      </w:r>
      <w:r w:rsidR="0045499C">
        <w:t xml:space="preserve"> directs</w:t>
      </w:r>
      <w:r w:rsidR="00515C11">
        <w:t xml:space="preserve"> the </w:t>
      </w:r>
      <w:r w:rsidR="001E5CA3">
        <w:t>ANR Secretary to research and adopt by rule GHG accounting protocols that achieve transparent and accurate lifecycle accounting of greenhouse gas emissions.</w:t>
      </w:r>
      <w:r w:rsidR="001E5CA3">
        <w:rPr>
          <w:rStyle w:val="FootnoteReference"/>
        </w:rPr>
        <w:footnoteReference w:id="6"/>
      </w:r>
      <w:r w:rsidR="00515C11">
        <w:t xml:space="preserve"> </w:t>
      </w:r>
      <w:r w:rsidR="004C75CC">
        <w:t xml:space="preserve"> </w:t>
      </w:r>
      <w:r w:rsidR="00384A15">
        <w:t xml:space="preserve">Our discussion in this report of the current inventory methods, lifecycle accounting methods, and comparisons to good practice in other jurisdictions is based on technical review of the issues and opportunities, and does not </w:t>
      </w:r>
      <w:r w:rsidR="00A27FC3">
        <w:t xml:space="preserve">provide an interpretation of statutory language or compliance. </w:t>
      </w:r>
    </w:p>
    <w:p w14:paraId="6763E5EC" w14:textId="6E53F6B3" w:rsidR="00301353" w:rsidRDefault="00A27FC3" w:rsidP="00E23C07">
      <w:r>
        <w:t xml:space="preserve">The GWSA </w:t>
      </w:r>
      <w:r w:rsidR="00575E91">
        <w:t xml:space="preserve">emissions reduction targets are based upon </w:t>
      </w:r>
      <w:r w:rsidR="00754300">
        <w:t>Vermont’s</w:t>
      </w:r>
      <w:r w:rsidR="00575E91">
        <w:t xml:space="preserve"> </w:t>
      </w:r>
      <w:r w:rsidR="00E03DAC">
        <w:t>current inventory method</w:t>
      </w:r>
      <w:r w:rsidR="0099443C">
        <w:t xml:space="preserve"> and the associated historic emissions levels for 1990 and 2005</w:t>
      </w:r>
      <w:r w:rsidR="00E03DAC">
        <w:t xml:space="preserve">, </w:t>
      </w:r>
      <w:r w:rsidR="0099443C">
        <w:t>resulting in gross emissions target</w:t>
      </w:r>
      <w:r w:rsidR="002728D1">
        <w:t xml:space="preserve">s of 7.38 million metric </w:t>
      </w:r>
      <w:proofErr w:type="spellStart"/>
      <w:r w:rsidR="002728D1">
        <w:t>tonnes</w:t>
      </w:r>
      <w:proofErr w:type="spellEnd"/>
      <w:r w:rsidR="002728D1">
        <w:t xml:space="preserve"> of carbon dioxide equivalent (MMTCO</w:t>
      </w:r>
      <w:r w:rsidR="009B1222" w:rsidRPr="009B1222">
        <w:rPr>
          <w:vertAlign w:val="subscript"/>
        </w:rPr>
        <w:t>2</w:t>
      </w:r>
      <w:r w:rsidR="009B1222">
        <w:t xml:space="preserve">e) </w:t>
      </w:r>
      <w:r w:rsidR="002728D1">
        <w:t xml:space="preserve">in </w:t>
      </w:r>
      <w:r w:rsidR="00CE38DE">
        <w:t>2025, 5.19</w:t>
      </w:r>
      <w:r w:rsidR="00C004C1">
        <w:t xml:space="preserve"> MMTCO</w:t>
      </w:r>
      <w:r w:rsidR="00C004C1" w:rsidRPr="009B1222">
        <w:rPr>
          <w:vertAlign w:val="subscript"/>
        </w:rPr>
        <w:t>2</w:t>
      </w:r>
      <w:r w:rsidR="00C004C1">
        <w:t xml:space="preserve">e in 2030, and </w:t>
      </w:r>
      <w:r w:rsidR="00F02A7F">
        <w:t>1.</w:t>
      </w:r>
      <w:r w:rsidR="00E77596">
        <w:t>73 MMTCO</w:t>
      </w:r>
      <w:r w:rsidR="00E77596" w:rsidRPr="009B1222">
        <w:rPr>
          <w:vertAlign w:val="subscript"/>
        </w:rPr>
        <w:t>2</w:t>
      </w:r>
      <w:r w:rsidR="00E77596">
        <w:t xml:space="preserve">e in 2050.  </w:t>
      </w:r>
      <w:r w:rsidR="00CE38DE">
        <w:t xml:space="preserve"> </w:t>
      </w:r>
      <w:r w:rsidR="00F566A5">
        <w:t xml:space="preserve">Figure 1 illustrates these gross emissions reduction targets along with estimates of historical emissions from 1990-2017. </w:t>
      </w:r>
    </w:p>
    <w:p w14:paraId="693EF2C3" w14:textId="6F1462C0" w:rsidR="00EC0EE0" w:rsidRDefault="009E13AB" w:rsidP="009E13AB">
      <w:pPr>
        <w:pStyle w:val="Heading2"/>
      </w:pPr>
      <w:bookmarkStart w:id="13" w:name="_Toc78869938"/>
      <w:r>
        <w:t>Vermont 1990-2017 Inventory</w:t>
      </w:r>
      <w:bookmarkEnd w:id="13"/>
    </w:p>
    <w:p w14:paraId="7C1D4F04" w14:textId="5421C78D" w:rsidR="009E13AB" w:rsidRDefault="006D0E3F" w:rsidP="009E13AB">
      <w:r w:rsidRPr="006D0E3F">
        <w:rPr>
          <w:noProof/>
        </w:rPr>
        <w:drawing>
          <wp:inline distT="0" distB="0" distL="0" distR="0" wp14:anchorId="140D13AE" wp14:editId="44B3A887">
            <wp:extent cx="5943600" cy="1948180"/>
            <wp:effectExtent l="0" t="0" r="0" b="0"/>
            <wp:docPr id="2816" name="Picture 2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48180"/>
                    </a:xfrm>
                    <a:prstGeom prst="rect">
                      <a:avLst/>
                    </a:prstGeom>
                    <a:noFill/>
                    <a:ln>
                      <a:noFill/>
                    </a:ln>
                  </pic:spPr>
                </pic:pic>
              </a:graphicData>
            </a:graphic>
          </wp:inline>
        </w:drawing>
      </w:r>
    </w:p>
    <w:p w14:paraId="66649D8A" w14:textId="333FDFBC" w:rsidR="00666BE2" w:rsidRDefault="001A645B" w:rsidP="00DC082B">
      <w:pPr>
        <w:jc w:val="center"/>
        <w:rPr>
          <w:sz w:val="22"/>
        </w:rPr>
      </w:pPr>
      <w:r w:rsidRPr="00E77596">
        <w:rPr>
          <w:b/>
          <w:bCs/>
          <w:sz w:val="22"/>
        </w:rPr>
        <w:lastRenderedPageBreak/>
        <w:t>Figure 1:</w:t>
      </w:r>
      <w:r>
        <w:rPr>
          <w:sz w:val="22"/>
        </w:rPr>
        <w:t xml:space="preserve"> Vermont statewide greenhouse gas emissions levels and mandated reduction targets as defined in 10 V.S.A. § 578.</w:t>
      </w:r>
    </w:p>
    <w:p w14:paraId="564A9EF3" w14:textId="36F4D7F2" w:rsidR="00413938" w:rsidRDefault="00413938" w:rsidP="00413938">
      <w:pPr>
        <w:pStyle w:val="Heading2"/>
      </w:pPr>
      <w:bookmarkStart w:id="14" w:name="_Toc78869939"/>
      <w:r>
        <w:t>Method</w:t>
      </w:r>
      <w:r w:rsidR="00FF51A3">
        <w:t>s</w:t>
      </w:r>
      <w:r>
        <w:t xml:space="preserve"> </w:t>
      </w:r>
      <w:r w:rsidR="002C1EF8">
        <w:t>and Data</w:t>
      </w:r>
      <w:bookmarkEnd w:id="14"/>
    </w:p>
    <w:p w14:paraId="1D06208C" w14:textId="77777777" w:rsidR="008571CA" w:rsidRDefault="001B04CB" w:rsidP="008571CA">
      <w:r>
        <w:t xml:space="preserve">Vermont’s inventory relies heavily on methods and data sources recommended in the EPA’s State Inventory Tool (SIT).  The SIT contains individual </w:t>
      </w:r>
      <w:r w:rsidR="001579BA">
        <w:t xml:space="preserve">sector </w:t>
      </w:r>
      <w:r>
        <w:t>modules</w:t>
      </w:r>
      <w:r w:rsidR="002A0634">
        <w:t xml:space="preserve">, and workbooks </w:t>
      </w:r>
      <w:r w:rsidR="00875A78">
        <w:t>for each</w:t>
      </w:r>
      <w:r w:rsidR="002A0634">
        <w:t xml:space="preserve"> module </w:t>
      </w:r>
      <w:r w:rsidR="00875A78">
        <w:t>are</w:t>
      </w:r>
      <w:r w:rsidR="002A0634">
        <w:t xml:space="preserve"> used by ANR staff to compile the inventory.  </w:t>
      </w:r>
      <w:r w:rsidR="008571CA">
        <w:t xml:space="preserve">This section provides an overview and select examples of methods and data used.  Appendix Table A-3 provides a summary and further details on the primary and supporting methods and data by sector the Vermont inventory.  </w:t>
      </w:r>
    </w:p>
    <w:p w14:paraId="5361862C" w14:textId="266C5986" w:rsidR="002A0634" w:rsidRDefault="00A43B68" w:rsidP="00413938">
      <w:r>
        <w:t>The SIT includes state specific default data and assumptions that can be modified by the user.  The default d</w:t>
      </w:r>
      <w:r w:rsidR="00875A78">
        <w:t>ata sources include information compiled by the Energy Information Administration (EIA) and reported through the State Energy Data System (SEDS)</w:t>
      </w:r>
      <w:r w:rsidR="00F53C96">
        <w:t xml:space="preserve"> </w:t>
      </w:r>
      <w:r w:rsidR="00920A39">
        <w:t>on items such as</w:t>
      </w:r>
      <w:r w:rsidR="00421D76">
        <w:t xml:space="preserve"> time series for </w:t>
      </w:r>
      <w:r>
        <w:t>fossil fuel consumption</w:t>
      </w:r>
      <w:r w:rsidR="00F53C96">
        <w:t xml:space="preserve">, </w:t>
      </w:r>
      <w:r w:rsidR="009C2EDF">
        <w:t xml:space="preserve">fuel </w:t>
      </w:r>
      <w:r>
        <w:t>carbon content</w:t>
      </w:r>
      <w:r w:rsidR="009D6DB6">
        <w:t xml:space="preserve">, </w:t>
      </w:r>
      <w:r w:rsidR="009D395A">
        <w:t xml:space="preserve">and </w:t>
      </w:r>
      <w:r w:rsidR="009D6DB6">
        <w:t>non-energy uses of fossil fuels</w:t>
      </w:r>
      <w:r w:rsidR="00450A5A">
        <w:t>.  The inventory also uses i</w:t>
      </w:r>
      <w:r w:rsidR="00F53C96">
        <w:t xml:space="preserve">nformation </w:t>
      </w:r>
      <w:r w:rsidR="00D70660">
        <w:t>collected by the</w:t>
      </w:r>
      <w:r w:rsidR="00F53C96">
        <w:t xml:space="preserve"> Vermont Department of Public Service</w:t>
      </w:r>
      <w:r w:rsidR="00450A5A">
        <w:t xml:space="preserve"> on items such as</w:t>
      </w:r>
      <w:r w:rsidR="00F52C45">
        <w:t xml:space="preserve"> </w:t>
      </w:r>
      <w:r w:rsidR="0020306C">
        <w:t>the share of annual electric generation (</w:t>
      </w:r>
      <w:proofErr w:type="spellStart"/>
      <w:r w:rsidR="0020306C">
        <w:t>GWhs</w:t>
      </w:r>
      <w:proofErr w:type="spellEnd"/>
      <w:r w:rsidR="0020306C">
        <w:t xml:space="preserve">) </w:t>
      </w:r>
      <w:r w:rsidR="00A6239A">
        <w:t xml:space="preserve">by generation type and </w:t>
      </w:r>
      <w:r w:rsidR="00847987">
        <w:t>annual fuel assessment reports.  A specific sector may use more than one module</w:t>
      </w:r>
      <w:r w:rsidR="00475257">
        <w:t>.</w:t>
      </w:r>
      <w:r w:rsidR="00847987">
        <w:t xml:space="preserve"> </w:t>
      </w:r>
      <w:r w:rsidR="00475257">
        <w:t>F</w:t>
      </w:r>
      <w:r w:rsidR="00847987">
        <w:t>or</w:t>
      </w:r>
      <w:r w:rsidR="00391119">
        <w:t xml:space="preserve"> </w:t>
      </w:r>
      <w:r w:rsidR="00847987">
        <w:t>example</w:t>
      </w:r>
      <w:r w:rsidR="00475257">
        <w:t>,</w:t>
      </w:r>
      <w:r w:rsidR="00847987">
        <w:t xml:space="preserve"> Vermont’s</w:t>
      </w:r>
      <w:r w:rsidR="00391119">
        <w:t xml:space="preserve"> inventory</w:t>
      </w:r>
      <w:r w:rsidR="00847987">
        <w:t xml:space="preserve"> for the transportation module</w:t>
      </w:r>
      <w:r w:rsidR="00391119">
        <w:t xml:space="preserve"> uses the SIT module for combustion of fossil fuels to estimate the CO</w:t>
      </w:r>
      <w:r w:rsidR="00391119" w:rsidRPr="00391119">
        <w:rPr>
          <w:vertAlign w:val="subscript"/>
        </w:rPr>
        <w:t>2</w:t>
      </w:r>
      <w:r w:rsidR="00391119">
        <w:rPr>
          <w:vertAlign w:val="subscript"/>
        </w:rPr>
        <w:t xml:space="preserve"> </w:t>
      </w:r>
      <w:r w:rsidR="00391119">
        <w:t>emissions from mobile sources</w:t>
      </w:r>
      <w:r w:rsidR="00847987">
        <w:t>, and</w:t>
      </w:r>
      <w:r w:rsidR="00BB6CDE">
        <w:t xml:space="preserve"> </w:t>
      </w:r>
      <w:r w:rsidR="00847987">
        <w:t>it uses</w:t>
      </w:r>
      <w:r w:rsidR="00BB6CDE">
        <w:t xml:space="preserve"> the SIT module for mobile combustion to estimate the </w:t>
      </w:r>
      <w:r w:rsidR="000E2883">
        <w:t>methane (</w:t>
      </w:r>
      <w:r w:rsidR="00BB6CDE">
        <w:t>CH</w:t>
      </w:r>
      <w:r w:rsidR="00BB6CDE" w:rsidRPr="002A0634">
        <w:rPr>
          <w:vertAlign w:val="subscript"/>
        </w:rPr>
        <w:t>4</w:t>
      </w:r>
      <w:r w:rsidR="000E2883">
        <w:t xml:space="preserve">) </w:t>
      </w:r>
      <w:r w:rsidR="00BB6CDE">
        <w:t xml:space="preserve">and </w:t>
      </w:r>
      <w:r w:rsidR="000E2883">
        <w:t>nitrous oxide (</w:t>
      </w:r>
      <w:r w:rsidR="00BB6CDE">
        <w:t>N</w:t>
      </w:r>
      <w:r w:rsidR="002A0634" w:rsidRPr="002A0634">
        <w:rPr>
          <w:vertAlign w:val="subscript"/>
        </w:rPr>
        <w:t>2</w:t>
      </w:r>
      <w:r w:rsidR="002A0634">
        <w:t>0</w:t>
      </w:r>
      <w:r w:rsidR="000E2883">
        <w:t>)</w:t>
      </w:r>
      <w:r w:rsidR="002A0634">
        <w:t xml:space="preserve"> emissions.  </w:t>
      </w:r>
    </w:p>
    <w:p w14:paraId="14E9B4B5" w14:textId="78EDFFE2" w:rsidR="002A0634" w:rsidRDefault="00847987" w:rsidP="00413938">
      <w:r>
        <w:t xml:space="preserve">Sectors and categories where the Vermont Inventory does not use the SIT tool as the primary method for estimating emissions include </w:t>
      </w:r>
      <w:r w:rsidR="00C13111">
        <w:t xml:space="preserve">Ozone Depleting Substance (ODS) Substitutes, </w:t>
      </w:r>
      <w:r w:rsidR="00912B7E">
        <w:t xml:space="preserve">where a tool developed by California for the use by </w:t>
      </w:r>
      <w:r w:rsidR="00957E50">
        <w:t xml:space="preserve">U.S. </w:t>
      </w:r>
      <w:r w:rsidR="00912B7E">
        <w:t xml:space="preserve">Climate Alliance </w:t>
      </w:r>
      <w:r w:rsidR="00957E50">
        <w:t>s</w:t>
      </w:r>
      <w:r w:rsidR="00912B7E">
        <w:t xml:space="preserve">tates </w:t>
      </w:r>
      <w:r w:rsidR="00D22326">
        <w:t xml:space="preserve">uses per capita and per vehicle estimates that are </w:t>
      </w:r>
      <w:r w:rsidR="00912B7E">
        <w:t xml:space="preserve">adjusted to reflect Vermont specific data for </w:t>
      </w:r>
      <w:r w:rsidR="00D22326">
        <w:t>the</w:t>
      </w:r>
      <w:r w:rsidR="00912B7E">
        <w:t xml:space="preserve"> number of </w:t>
      </w:r>
      <w:r w:rsidR="00D22326">
        <w:t xml:space="preserve">households with air conditioners and heat pumps.  The EPA’s </w:t>
      </w:r>
      <w:r w:rsidR="00AA745E">
        <w:t xml:space="preserve">Facility Level Information on </w:t>
      </w:r>
      <w:proofErr w:type="spellStart"/>
      <w:r w:rsidR="00AA745E">
        <w:t>Green</w:t>
      </w:r>
      <w:r w:rsidR="00FA4BE2">
        <w:t>House</w:t>
      </w:r>
      <w:proofErr w:type="spellEnd"/>
      <w:r w:rsidR="00FA4BE2">
        <w:t xml:space="preserve"> gases Tool (FLIGHT) is used </w:t>
      </w:r>
      <w:r w:rsidR="00121455">
        <w:t xml:space="preserve">to estimate </w:t>
      </w:r>
      <w:r w:rsidR="003D3A24">
        <w:t xml:space="preserve">emissions of fluorinated gases from semi-conductor manufacturing, with data prior to 2011 based on national averages.  </w:t>
      </w:r>
      <w:r w:rsidR="00D22326">
        <w:t xml:space="preserve">  </w:t>
      </w:r>
      <w:r w:rsidR="002A0634">
        <w:t xml:space="preserve">  </w:t>
      </w:r>
    </w:p>
    <w:p w14:paraId="238C2F37" w14:textId="5D7E7191" w:rsidR="00EE762D" w:rsidRDefault="00EE762D" w:rsidP="00413938">
      <w:r>
        <w:t xml:space="preserve">The Vermont Inventory currently uses the SIT tool for the agriculture sector.  </w:t>
      </w:r>
      <w:r w:rsidR="00611AA4">
        <w:t>Emissions from the agricultur</w:t>
      </w:r>
      <w:r w:rsidR="00560E82">
        <w:t>e</w:t>
      </w:r>
      <w:r w:rsidR="00611AA4">
        <w:t xml:space="preserve"> sector </w:t>
      </w:r>
      <w:r w:rsidR="00DF2FDE">
        <w:t>are largely the result of</w:t>
      </w:r>
      <w:r w:rsidR="00BA5B86">
        <w:t xml:space="preserve"> CH</w:t>
      </w:r>
      <w:r w:rsidR="00E93F30">
        <w:rPr>
          <w:vertAlign w:val="subscript"/>
        </w:rPr>
        <w:t>4</w:t>
      </w:r>
      <w:r w:rsidR="00E93F30">
        <w:t xml:space="preserve"> and N</w:t>
      </w:r>
      <w:r w:rsidR="00E93F30" w:rsidRPr="00BF7FBD">
        <w:rPr>
          <w:vertAlign w:val="subscript"/>
        </w:rPr>
        <w:t>2</w:t>
      </w:r>
      <w:r w:rsidR="00E93F30">
        <w:t>O</w:t>
      </w:r>
      <w:r w:rsidR="00DF2FDE">
        <w:t xml:space="preserve"> emissions from enteric fermentation, manure management, and soils.  The technical consultant team, in work being led by Dr. Gillian </w:t>
      </w:r>
      <w:proofErr w:type="spellStart"/>
      <w:r w:rsidR="00DF2FDE">
        <w:t>Gallford</w:t>
      </w:r>
      <w:proofErr w:type="spellEnd"/>
      <w:r w:rsidR="00DF2FDE">
        <w:t xml:space="preserve"> from University of Vermont</w:t>
      </w:r>
      <w:r w:rsidR="0057595C">
        <w:t xml:space="preserve"> under Task Area 2</w:t>
      </w:r>
      <w:r w:rsidR="00DF2FDE">
        <w:t xml:space="preserve">, is examining </w:t>
      </w:r>
      <w:r w:rsidR="0057595C">
        <w:t>use of the</w:t>
      </w:r>
      <w:r w:rsidR="00DF2FDE">
        <w:t xml:space="preserve"> EX-ACT model</w:t>
      </w:r>
      <w:r w:rsidR="00AF4087">
        <w:t>(s)</w:t>
      </w:r>
      <w:r w:rsidR="0057595C">
        <w:t xml:space="preserve"> developed by the Food and A</w:t>
      </w:r>
      <w:r w:rsidR="00135F3E">
        <w:t>griculture Organization of the United Nations</w:t>
      </w:r>
      <w:r w:rsidR="003474EB">
        <w:rPr>
          <w:rStyle w:val="FootnoteReference"/>
        </w:rPr>
        <w:footnoteReference w:id="7"/>
      </w:r>
      <w:r w:rsidR="00135F3E">
        <w:t xml:space="preserve"> as </w:t>
      </w:r>
      <w:r w:rsidR="00135F3E">
        <w:lastRenderedPageBreak/>
        <w:t>an alternative method to the SIT tool.  In comparison to the SIT tool, which estimates agriculture emissions based on livestock census data, the EX-ACT model</w:t>
      </w:r>
      <w:r w:rsidR="00AF4087">
        <w:t>s</w:t>
      </w:r>
      <w:r w:rsidR="00135F3E">
        <w:t xml:space="preserve"> </w:t>
      </w:r>
      <w:r w:rsidR="00AF4087">
        <w:t>are</w:t>
      </w:r>
      <w:r w:rsidR="00135F3E">
        <w:t xml:space="preserve"> better suited to addressing changes in management practices that reduce emissions and </w:t>
      </w:r>
      <w:r w:rsidR="00AA7964">
        <w:t xml:space="preserve">for assessing opportunities to </w:t>
      </w:r>
      <w:r w:rsidR="00135F3E">
        <w:t xml:space="preserve">increase sequestration from agriculture and forested lands.  </w:t>
      </w:r>
      <w:r w:rsidR="00DF2FDE">
        <w:t xml:space="preserve"> </w:t>
      </w:r>
      <w:r>
        <w:t xml:space="preserve"> </w:t>
      </w:r>
    </w:p>
    <w:p w14:paraId="2D87582F" w14:textId="0A0C444E" w:rsidR="00B11A60" w:rsidRDefault="00B11A60" w:rsidP="00BF7FBD">
      <w:pPr>
        <w:pStyle w:val="Heading2"/>
      </w:pPr>
      <w:bookmarkStart w:id="15" w:name="_Toc78869940"/>
      <w:r>
        <w:t>Global Warming Potentials</w:t>
      </w:r>
      <w:bookmarkEnd w:id="15"/>
    </w:p>
    <w:p w14:paraId="46443642" w14:textId="6B5A2D9B" w:rsidR="00DF61A6" w:rsidRDefault="004C36F9" w:rsidP="00F566A5">
      <w:r>
        <w:t>Global warming potentials (GWP) are a method developed by the IPCC to account for differences in the average atmospheric lifetime and heat trapping potency of the most important GHGs.  The use of GWPs permits an inventory to present results in carbon dioxide equivalent (C</w:t>
      </w:r>
      <w:r w:rsidR="00156073">
        <w:t>O</w:t>
      </w:r>
      <w:r w:rsidR="00156073" w:rsidRPr="00BF7FBD">
        <w:rPr>
          <w:vertAlign w:val="subscript"/>
        </w:rPr>
        <w:t>2</w:t>
      </w:r>
      <w:r w:rsidR="00156073">
        <w:t xml:space="preserve">e) values and provides an estimate of the emissions across all included GHGs.  </w:t>
      </w:r>
    </w:p>
    <w:p w14:paraId="2DF49A45" w14:textId="6167AF46" w:rsidR="00C94D56" w:rsidRDefault="00DF61A6" w:rsidP="00F566A5">
      <w:r>
        <w:t xml:space="preserve">Vermont’s inventory accounts for, but does not report on, the contributions of the individual GHGs to Vermont’s total emissions.  </w:t>
      </w:r>
      <w:r w:rsidR="00156073">
        <w:t xml:space="preserve">Carbon dioxide emissions from combustion of fossil fuels is consistently the most important contributor to </w:t>
      </w:r>
      <w:r w:rsidR="003E2434">
        <w:t>inventories, typically accounting for 80 percent or more of the total emissions impact by gas, with methane (CH</w:t>
      </w:r>
      <w:r w:rsidR="003E2434" w:rsidRPr="00BF7FBD">
        <w:rPr>
          <w:vertAlign w:val="subscript"/>
        </w:rPr>
        <w:t>4</w:t>
      </w:r>
      <w:r w:rsidR="003E2434" w:rsidRPr="00BF7FBD">
        <w:t>)</w:t>
      </w:r>
      <w:r w:rsidR="003E2434">
        <w:rPr>
          <w:vertAlign w:val="subscript"/>
        </w:rPr>
        <w:t xml:space="preserve"> </w:t>
      </w:r>
      <w:r w:rsidR="003E2434">
        <w:t xml:space="preserve">often being the second largest contributor.  </w:t>
      </w:r>
    </w:p>
    <w:p w14:paraId="7B0E2620" w14:textId="4C69292F" w:rsidR="00F566A5" w:rsidRDefault="004C36F9" w:rsidP="00F566A5">
      <w:pPr>
        <w:rPr>
          <w:sz w:val="22"/>
        </w:rPr>
      </w:pPr>
      <w:r>
        <w:t xml:space="preserve">Vermont’s Inventory reports on </w:t>
      </w:r>
      <w:r w:rsidR="00C94D56">
        <w:t xml:space="preserve">seven major GHGs using the </w:t>
      </w:r>
      <w:r>
        <w:t>100-year GWP</w:t>
      </w:r>
      <w:r w:rsidR="00C94D56">
        <w:t xml:space="preserve"> values to </w:t>
      </w:r>
      <w:r w:rsidR="00AF104C">
        <w:t>calculate CO</w:t>
      </w:r>
      <w:r w:rsidR="00AF104C" w:rsidRPr="00BF7FBD">
        <w:rPr>
          <w:vertAlign w:val="subscript"/>
        </w:rPr>
        <w:t>2</w:t>
      </w:r>
      <w:r w:rsidR="00AF104C">
        <w:t>e</w:t>
      </w:r>
      <w:r w:rsidR="00C94D56">
        <w:t xml:space="preserve"> </w:t>
      </w:r>
      <w:r w:rsidR="00AF104C">
        <w:t xml:space="preserve">values.  This is consistent with IPCC guidance from the Fourth Assessment Report (AR4).  The IPCC’s Fifth Assessment Report </w:t>
      </w:r>
      <w:r w:rsidR="006D2953">
        <w:t xml:space="preserve">(AR5) </w:t>
      </w:r>
      <w:r w:rsidR="0069584F">
        <w:t>contains updated</w:t>
      </w:r>
      <w:r w:rsidR="000136A0">
        <w:t xml:space="preserve"> GWPs and </w:t>
      </w:r>
      <w:r w:rsidR="0069584F">
        <w:t xml:space="preserve">the IPCC has also issued reports indicating that shorter time horizons </w:t>
      </w:r>
      <w:r w:rsidR="000325C9">
        <w:t xml:space="preserve">may be appropriate for estimation of </w:t>
      </w:r>
      <w:r w:rsidR="006D2953">
        <w:t>some</w:t>
      </w:r>
      <w:r w:rsidR="000325C9">
        <w:t xml:space="preserve"> GWPs including CH</w:t>
      </w:r>
      <w:r w:rsidR="000325C9" w:rsidRPr="00BF7FBD">
        <w:rPr>
          <w:vertAlign w:val="subscript"/>
        </w:rPr>
        <w:t>4</w:t>
      </w:r>
      <w:r w:rsidR="000325C9">
        <w:t>.</w:t>
      </w:r>
      <w:r w:rsidR="006D2953">
        <w:rPr>
          <w:rStyle w:val="FootnoteReference"/>
        </w:rPr>
        <w:footnoteReference w:id="8"/>
      </w:r>
      <w:r w:rsidR="000325C9">
        <w:t xml:space="preserve">   </w:t>
      </w:r>
      <w:r w:rsidR="000136A0">
        <w:t xml:space="preserve"> </w:t>
      </w:r>
    </w:p>
    <w:p w14:paraId="0311B325" w14:textId="77777777" w:rsidR="00F566A5" w:rsidRPr="009E13AB" w:rsidRDefault="00F566A5" w:rsidP="00BF7FBD">
      <w:pPr>
        <w:jc w:val="center"/>
      </w:pPr>
      <w:r w:rsidRPr="00D3646E">
        <w:rPr>
          <w:noProof/>
        </w:rPr>
        <w:drawing>
          <wp:inline distT="0" distB="0" distL="0" distR="0" wp14:anchorId="2D44D7B8" wp14:editId="45147A6C">
            <wp:extent cx="4198620" cy="1272540"/>
            <wp:effectExtent l="0" t="0" r="0" b="3810"/>
            <wp:docPr id="2817" name="Picture 2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0" cy="1272540"/>
                    </a:xfrm>
                    <a:prstGeom prst="rect">
                      <a:avLst/>
                    </a:prstGeom>
                    <a:noFill/>
                    <a:ln>
                      <a:noFill/>
                    </a:ln>
                  </pic:spPr>
                </pic:pic>
              </a:graphicData>
            </a:graphic>
          </wp:inline>
        </w:drawing>
      </w:r>
    </w:p>
    <w:p w14:paraId="409969CE" w14:textId="1D7A1A58" w:rsidR="007F2CCD" w:rsidRDefault="00E741D6" w:rsidP="00BF7FBD">
      <w:pPr>
        <w:jc w:val="center"/>
      </w:pPr>
      <w:r w:rsidRPr="00BF7FBD">
        <w:rPr>
          <w:b/>
          <w:bCs/>
        </w:rPr>
        <w:t>Table 1</w:t>
      </w:r>
      <w:r>
        <w:t>: Global Warming Potentials and Atmospheric Lifetime for the GHGs in Vermont’s Inventory – Based on IPCC AR-4.</w:t>
      </w:r>
    </w:p>
    <w:p w14:paraId="03995393" w14:textId="77777777" w:rsidR="00B11A60" w:rsidRDefault="00765C8E" w:rsidP="00400340">
      <w:pPr>
        <w:pStyle w:val="Heading2"/>
      </w:pPr>
      <w:bookmarkStart w:id="16" w:name="_Toc78869941"/>
      <w:r>
        <w:t xml:space="preserve">Key </w:t>
      </w:r>
      <w:r w:rsidR="00B11A60">
        <w:t>Category Analysis</w:t>
      </w:r>
      <w:bookmarkEnd w:id="16"/>
      <w:r w:rsidR="00B11A60">
        <w:t xml:space="preserve"> </w:t>
      </w:r>
    </w:p>
    <w:p w14:paraId="41DCFFBB" w14:textId="295F9516" w:rsidR="00D83C09" w:rsidRDefault="00492672" w:rsidP="00413938">
      <w:r>
        <w:t xml:space="preserve">Key category analysis (KCA) is recommended by the </w:t>
      </w:r>
      <w:r w:rsidR="00765C8E">
        <w:t xml:space="preserve">IPCC Guidelines and </w:t>
      </w:r>
      <w:r>
        <w:t xml:space="preserve">is included in </w:t>
      </w:r>
      <w:r w:rsidR="00765C8E">
        <w:t>the U.S. National Inventory of Greenhouse Gas Emissions compiled by the EPA</w:t>
      </w:r>
      <w:r>
        <w:t>.</w:t>
      </w:r>
      <w:r w:rsidR="00765C8E">
        <w:t xml:space="preserve"> </w:t>
      </w:r>
      <w:r>
        <w:t xml:space="preserve">KCA provides a </w:t>
      </w:r>
      <w:r>
        <w:lastRenderedPageBreak/>
        <w:t xml:space="preserve">framework for identifying the most important categories in a GHG inventory.  </w:t>
      </w:r>
      <w:r w:rsidR="00812C6D">
        <w:t>KCA methods and c</w:t>
      </w:r>
      <w:r>
        <w:t>alculations</w:t>
      </w:r>
      <w:r w:rsidR="00812C6D">
        <w:t xml:space="preserve"> can help to identify key categories based on the scale of their contributions to total emissions, on their contributions to emission trends, and on uncertainty.</w:t>
      </w:r>
      <w:r w:rsidR="00D83C09">
        <w:t xml:space="preserve">  </w:t>
      </w:r>
    </w:p>
    <w:p w14:paraId="1D5944C0" w14:textId="0A846E5C" w:rsidR="0035710C" w:rsidRDefault="00D83C09" w:rsidP="00413938">
      <w:r>
        <w:t>The Vermont Inventory does not include KCA</w:t>
      </w:r>
      <w:r w:rsidR="00D10EC1">
        <w:t xml:space="preserve">.  The calculations and method for the scale and trend KCA’s are not burdensome, and in </w:t>
      </w:r>
      <w:r>
        <w:t>Appendix</w:t>
      </w:r>
      <w:r w:rsidR="00581409">
        <w:t xml:space="preserve"> C</w:t>
      </w:r>
      <w:r w:rsidR="00D10EC1">
        <w:t xml:space="preserve"> we provide </w:t>
      </w:r>
      <w:r w:rsidR="00DA2E32">
        <w:t xml:space="preserve">two </w:t>
      </w:r>
      <w:r w:rsidR="002E50BE">
        <w:t>KCA’s based on Vermont’s Inventory results</w:t>
      </w:r>
      <w:r w:rsidR="006B3B01">
        <w:t>: one based on scale</w:t>
      </w:r>
      <w:r w:rsidR="00592932">
        <w:t>,</w:t>
      </w:r>
      <w:r w:rsidR="00BB5917">
        <w:t xml:space="preserve"> </w:t>
      </w:r>
      <w:r w:rsidR="006B3B01">
        <w:t xml:space="preserve">and </w:t>
      </w:r>
      <w:r w:rsidR="00BB5917">
        <w:t xml:space="preserve">one based on </w:t>
      </w:r>
      <w:r w:rsidR="006B3B01">
        <w:t>trend</w:t>
      </w:r>
      <w:r w:rsidR="00BB5917">
        <w:t xml:space="preserve"> analysis</w:t>
      </w:r>
      <w:r w:rsidR="002E50BE">
        <w:t>.  ODS Substitutes are an example of how key categories can change over time.  In 1990 they were not a key category, but as substitutes for ozone depleting substances have become more widespread</w:t>
      </w:r>
      <w:r w:rsidR="00DA2E32">
        <w:t>,</w:t>
      </w:r>
      <w:r w:rsidR="002E50BE">
        <w:t xml:space="preserve"> these emissions and steps to reduce them have become a key category.  </w:t>
      </w:r>
    </w:p>
    <w:p w14:paraId="39FCEC2F" w14:textId="37A01107" w:rsidR="00AA4A77" w:rsidRDefault="0035710C" w:rsidP="00413938">
      <w:r>
        <w:t>We recommend including a key category analysis in Vermont’s GHG emissions inventory and regularly maintaining this information. The IPCC suggests that a key category analysis helps to identify priority categories for which a jurisdiction should more regularly review, update, and improve its methods, data, emissions factors and other parameters related to these categories. This could serve as a useful exercise for Vermont to understand its most significant changes in emissions and to assess its priorities. See Appendix C for the key categories analysis tables as well as an explanation for how the key categories were calculated.</w:t>
      </w:r>
      <w:r w:rsidR="002E50BE">
        <w:t xml:space="preserve"> </w:t>
      </w:r>
    </w:p>
    <w:p w14:paraId="20DE3491" w14:textId="7B8CE384" w:rsidR="009C7144" w:rsidRDefault="009C7144" w:rsidP="00DB668F">
      <w:pPr>
        <w:pStyle w:val="Heading2"/>
      </w:pPr>
      <w:bookmarkStart w:id="17" w:name="_Toc78869942"/>
      <w:r>
        <w:t>Biogenic Emissions and Sequestration</w:t>
      </w:r>
      <w:bookmarkEnd w:id="17"/>
      <w:r>
        <w:t xml:space="preserve"> </w:t>
      </w:r>
    </w:p>
    <w:p w14:paraId="521058E5" w14:textId="0B5F2386" w:rsidR="009C7144" w:rsidRDefault="0029101D" w:rsidP="00413938">
      <w:r>
        <w:t>Consistent with IPCC and EPA guidelines, the Vermont Inventory does not include CO</w:t>
      </w:r>
      <w:r w:rsidRPr="001037EF">
        <w:rPr>
          <w:vertAlign w:val="subscript"/>
        </w:rPr>
        <w:t>2</w:t>
      </w:r>
      <w:r>
        <w:t xml:space="preserve"> emissions from biogenic sources.  The changes in carbon </w:t>
      </w:r>
      <w:r w:rsidR="005C7C97">
        <w:t xml:space="preserve">stocks within forest, agriculture, and other land categories, are accounted for in Land Use, Land Use Change, and Forestry (LULUCF) </w:t>
      </w:r>
      <w:r w:rsidR="00CF2F96">
        <w:t xml:space="preserve">analyses.  The technical consultant team under </w:t>
      </w:r>
      <w:r w:rsidR="007B61A4">
        <w:t>T</w:t>
      </w:r>
      <w:r w:rsidR="00CF2F96">
        <w:t xml:space="preserve">ask </w:t>
      </w:r>
      <w:r w:rsidR="007B61A4">
        <w:t>A</w:t>
      </w:r>
      <w:r w:rsidR="00CF2F96">
        <w:t>rea 2 is developing a report and recommendations on Vermont’s carbon budget including land use, changes and carbon stocks.  While biogenic CO</w:t>
      </w:r>
      <w:r w:rsidR="00CF2F96" w:rsidRPr="001037EF">
        <w:rPr>
          <w:vertAlign w:val="subscript"/>
        </w:rPr>
        <w:t>2</w:t>
      </w:r>
      <w:r w:rsidR="00CF2F96">
        <w:t xml:space="preserve"> is not included in the </w:t>
      </w:r>
      <w:r w:rsidR="00D6278D">
        <w:t>official inventory, c</w:t>
      </w:r>
      <w:r w:rsidR="00E86351">
        <w:t xml:space="preserve">omplementary information </w:t>
      </w:r>
      <w:r w:rsidR="00D6278D">
        <w:t>is provided on these emissions and on estimated sequestration from anthropogenic activity in land use, land use change and forestry</w:t>
      </w:r>
      <w:r w:rsidR="00737174">
        <w:t>.</w:t>
      </w:r>
      <w:r w:rsidR="00D6278D">
        <w:t xml:space="preserve">  This complementary information </w:t>
      </w:r>
      <w:r w:rsidR="009C7144">
        <w:t xml:space="preserve">provides context for the gross estimated emissions as reported and on the state’s net emissions.  </w:t>
      </w:r>
    </w:p>
    <w:p w14:paraId="3D9E5039" w14:textId="77777777" w:rsidR="00C10AD6" w:rsidRDefault="00C10AD6" w:rsidP="00C10AD6">
      <w:r w:rsidRPr="009663E4">
        <w:rPr>
          <w:noProof/>
        </w:rPr>
        <w:lastRenderedPageBreak/>
        <w:drawing>
          <wp:inline distT="0" distB="0" distL="0" distR="0" wp14:anchorId="0E41D162" wp14:editId="0E0A5A92">
            <wp:extent cx="5486875" cy="2156647"/>
            <wp:effectExtent l="0" t="0" r="0" b="0"/>
            <wp:docPr id="2824" name="Picture 2824"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0" name="Picture 2820" descr="Chart&#10;&#10;Description automatically generated with low confidence"/>
                    <pic:cNvPicPr/>
                  </pic:nvPicPr>
                  <pic:blipFill>
                    <a:blip r:embed="rId13"/>
                    <a:stretch>
                      <a:fillRect/>
                    </a:stretch>
                  </pic:blipFill>
                  <pic:spPr>
                    <a:xfrm>
                      <a:off x="0" y="0"/>
                      <a:ext cx="5486875" cy="2156647"/>
                    </a:xfrm>
                    <a:prstGeom prst="rect">
                      <a:avLst/>
                    </a:prstGeom>
                  </pic:spPr>
                </pic:pic>
              </a:graphicData>
            </a:graphic>
          </wp:inline>
        </w:drawing>
      </w:r>
    </w:p>
    <w:p w14:paraId="1D4319C1" w14:textId="1134473A" w:rsidR="00057B08" w:rsidRDefault="00C10AD6" w:rsidP="001037EF">
      <w:pPr>
        <w:jc w:val="center"/>
      </w:pPr>
      <w:r w:rsidRPr="0093369D">
        <w:rPr>
          <w:b/>
          <w:bCs/>
          <w:sz w:val="22"/>
        </w:rPr>
        <w:t>Figure</w:t>
      </w:r>
      <w:r>
        <w:rPr>
          <w:b/>
          <w:bCs/>
          <w:sz w:val="22"/>
        </w:rPr>
        <w:t xml:space="preserve"> 2</w:t>
      </w:r>
      <w:r w:rsidRPr="0093369D">
        <w:rPr>
          <w:b/>
          <w:bCs/>
          <w:sz w:val="22"/>
        </w:rPr>
        <w:t>:</w:t>
      </w:r>
      <w:r>
        <w:rPr>
          <w:sz w:val="22"/>
        </w:rPr>
        <w:t xml:space="preserve"> Vermont Estimated Biogenic CO</w:t>
      </w:r>
      <w:r>
        <w:rPr>
          <w:sz w:val="22"/>
          <w:vertAlign w:val="subscript"/>
        </w:rPr>
        <w:t xml:space="preserve">2 </w:t>
      </w:r>
      <w:r>
        <w:rPr>
          <w:sz w:val="22"/>
        </w:rPr>
        <w:t>Emissions and Forest Sequestration</w:t>
      </w:r>
    </w:p>
    <w:p w14:paraId="528F648D" w14:textId="1CBADE45" w:rsidR="00057B08" w:rsidDel="00510D9E" w:rsidRDefault="000C563B" w:rsidP="001037EF">
      <w:r>
        <w:t xml:space="preserve">Analyses on carbon budgets by land use categories are being undertaken to help further account for land use sources and sinks.  These efforts are being addressed by the Cadmus team in the Task 2, Carbon Budget Report.    </w:t>
      </w:r>
    </w:p>
    <w:p w14:paraId="527D6699" w14:textId="202CC8E8" w:rsidR="007F7A70" w:rsidRDefault="0054138E" w:rsidP="001037EF">
      <w:pPr>
        <w:pStyle w:val="Heading1"/>
      </w:pPr>
      <w:bookmarkStart w:id="18" w:name="_Toc78869943"/>
      <w:r>
        <w:t>Compari</w:t>
      </w:r>
      <w:r w:rsidR="00E60A34">
        <w:t>ng Vermont to Guidelines and Other States</w:t>
      </w:r>
      <w:bookmarkEnd w:id="18"/>
      <w:r w:rsidR="00E60A34" w:rsidDel="00E60A34">
        <w:t xml:space="preserve"> </w:t>
      </w:r>
    </w:p>
    <w:p w14:paraId="3FF4A5A8" w14:textId="11B80917" w:rsidR="00E60A34" w:rsidRDefault="00510D9E" w:rsidP="001037EF">
      <w:r>
        <w:t xml:space="preserve">Vermont’s Inventory is generally consistent with IPCC and EPA guidelines and with California, Massachusetts, and New York.  This section briefly describes these guidelines and the other states inventory methods.  We highlight select areas where practices adopted by other states may enhance Vermont’s future inventories. </w:t>
      </w:r>
      <w:r w:rsidR="0001207B">
        <w:t xml:space="preserve">  A crosswalk table comparing Vermont with the other state</w:t>
      </w:r>
      <w:r w:rsidR="001B6F23">
        <w:t>s and the U.S. National Inventory</w:t>
      </w:r>
      <w:r w:rsidR="0001207B">
        <w:t xml:space="preserve"> </w:t>
      </w:r>
      <w:r w:rsidR="00D15D63">
        <w:t>can be found in</w:t>
      </w:r>
      <w:r w:rsidR="0001207B">
        <w:t xml:space="preserve"> Appendix B</w:t>
      </w:r>
      <w:r w:rsidR="003A06CB">
        <w:t>.</w:t>
      </w:r>
      <w:r>
        <w:t xml:space="preserve"> </w:t>
      </w:r>
    </w:p>
    <w:p w14:paraId="4F9FDB8E" w14:textId="1D2EC762" w:rsidR="007F7A70" w:rsidRDefault="00197E76" w:rsidP="001037EF">
      <w:pPr>
        <w:pStyle w:val="Heading2"/>
      </w:pPr>
      <w:bookmarkStart w:id="19" w:name="_Toc78869944"/>
      <w:r>
        <w:t xml:space="preserve">IPCC </w:t>
      </w:r>
      <w:r w:rsidR="00BF5152">
        <w:t>Guidelines</w:t>
      </w:r>
      <w:bookmarkEnd w:id="19"/>
    </w:p>
    <w:p w14:paraId="27BC90F5" w14:textId="40B0F9E5" w:rsidR="00743C81" w:rsidRDefault="00BF5152" w:rsidP="00197E76">
      <w:r>
        <w:t>The IPCC has issued multiple rounds of guidance (</w:t>
      </w:r>
      <w:r w:rsidR="00197E76">
        <w:t>2006</w:t>
      </w:r>
      <w:r>
        <w:t xml:space="preserve">, 2013 and 2019) aimed at supporting comprehensive, consistent, </w:t>
      </w:r>
      <w:r w:rsidR="00D14523">
        <w:t xml:space="preserve">and </w:t>
      </w:r>
      <w:r>
        <w:t>transparent accounting that is up to date on emerging trends, data</w:t>
      </w:r>
      <w:r w:rsidR="00D82E69">
        <w:t>,</w:t>
      </w:r>
      <w:r>
        <w:t xml:space="preserve"> and methods on climate science.  The </w:t>
      </w:r>
      <w:r w:rsidR="003A2E30">
        <w:t xml:space="preserve">multi-volume </w:t>
      </w:r>
      <w:r>
        <w:t xml:space="preserve">IPCC documents are drafted and reviewed by international teams of subject matter experts, peer reviewed, and widely discussed and reviewed in the scientific literature.  </w:t>
      </w:r>
      <w:r w:rsidR="002A326B">
        <w:t xml:space="preserve">The 2013 and 2019 </w:t>
      </w:r>
      <w:r w:rsidR="00E24737">
        <w:t xml:space="preserve">guidelines are refinements to the 2006 document, which remains </w:t>
      </w:r>
      <w:r w:rsidR="00197E76">
        <w:t>foundational for emissions inventories.</w:t>
      </w:r>
      <w:r w:rsidR="00E24737">
        <w:t xml:space="preserve">  </w:t>
      </w:r>
      <w:r w:rsidR="00197E76">
        <w:t xml:space="preserve">  </w:t>
      </w:r>
    </w:p>
    <w:p w14:paraId="6CECEC4B" w14:textId="7040B044" w:rsidR="0041532F" w:rsidRDefault="007E2EEF" w:rsidP="007E4BAF">
      <w:r>
        <w:t>The</w:t>
      </w:r>
      <w:r w:rsidR="00B31E78">
        <w:t xml:space="preserve"> 2019 </w:t>
      </w:r>
      <w:r w:rsidR="00697010">
        <w:t xml:space="preserve">Refinement </w:t>
      </w:r>
      <w:r>
        <w:t xml:space="preserve">recommends </w:t>
      </w:r>
      <w:r w:rsidR="00D91DCD">
        <w:t>supplementary methodologies for sources and sinks where there are gaps and/or differences new scientific data</w:t>
      </w:r>
      <w:r w:rsidR="005803EC">
        <w:t xml:space="preserve">.  </w:t>
      </w:r>
      <w:r w:rsidR="00114EEF">
        <w:t>One</w:t>
      </w:r>
      <w:r w:rsidR="00C52DC8">
        <w:t xml:space="preserve"> example </w:t>
      </w:r>
      <w:r w:rsidR="002318C6">
        <w:t>is</w:t>
      </w:r>
      <w:r w:rsidR="00C52DC8">
        <w:t xml:space="preserve"> the updated guidance on fugitive emissions related to </w:t>
      </w:r>
      <w:r w:rsidR="00376AD1">
        <w:t>oil and gas systems</w:t>
      </w:r>
      <w:r>
        <w:t xml:space="preserve"> to account for an</w:t>
      </w:r>
      <w:r w:rsidR="00376AD1">
        <w:t xml:space="preserve"> </w:t>
      </w:r>
      <w:r w:rsidR="00466C47">
        <w:t xml:space="preserve">increase of fugitive emissions </w:t>
      </w:r>
      <w:r w:rsidR="00466C47">
        <w:lastRenderedPageBreak/>
        <w:t xml:space="preserve">from </w:t>
      </w:r>
      <w:r w:rsidR="00376AD1">
        <w:t>hydraulic fracturing.</w:t>
      </w:r>
      <w:r w:rsidR="0030219E">
        <w:rPr>
          <w:rStyle w:val="FootnoteReference"/>
        </w:rPr>
        <w:footnoteReference w:id="9"/>
      </w:r>
      <w:r w:rsidR="00376AD1">
        <w:t xml:space="preserve">  </w:t>
      </w:r>
      <w:r w:rsidR="005803EC">
        <w:t xml:space="preserve"> </w:t>
      </w:r>
      <w:r w:rsidR="007E4BAF" w:rsidRPr="00891530">
        <w:t xml:space="preserve">The </w:t>
      </w:r>
      <w:r w:rsidR="008B5435">
        <w:t xml:space="preserve">2019 Refinement also includes recommendations for </w:t>
      </w:r>
      <w:r w:rsidR="007E4BAF" w:rsidRPr="00891530">
        <w:t>CO</w:t>
      </w:r>
      <w:r w:rsidR="007E4BAF" w:rsidRPr="008A1F44">
        <w:rPr>
          <w:vertAlign w:val="subscript"/>
        </w:rPr>
        <w:t>2</w:t>
      </w:r>
      <w:r w:rsidR="007E4BAF" w:rsidRPr="00891530">
        <w:t xml:space="preserve"> and CH</w:t>
      </w:r>
      <w:r w:rsidR="007E4BAF" w:rsidRPr="008A1F44">
        <w:rPr>
          <w:vertAlign w:val="subscript"/>
        </w:rPr>
        <w:t>4</w:t>
      </w:r>
      <w:r w:rsidR="007E4BAF" w:rsidRPr="00891530">
        <w:t xml:space="preserve"> emissions from flooded land.</w:t>
      </w:r>
      <w:r w:rsidR="00866512">
        <w:rPr>
          <w:rStyle w:val="FootnoteReference"/>
        </w:rPr>
        <w:footnoteReference w:id="10"/>
      </w:r>
      <w:r w:rsidR="007E4BAF" w:rsidRPr="00891530">
        <w:t xml:space="preserve"> </w:t>
      </w:r>
      <w:r w:rsidR="007E4BAF">
        <w:t xml:space="preserve"> </w:t>
      </w:r>
    </w:p>
    <w:p w14:paraId="7BEB8EE3" w14:textId="77777777" w:rsidR="00B560C5" w:rsidRDefault="0041532F" w:rsidP="007E4BAF">
      <w:r>
        <w:t xml:space="preserve">The technical consultant team notes </w:t>
      </w:r>
      <w:r w:rsidR="00E32D85">
        <w:t xml:space="preserve">these refinements </w:t>
      </w:r>
      <w:r>
        <w:t xml:space="preserve">are intended to improve the estimation of upstream emissions for fossil fuel and large hydro, but that for inventory accounting, </w:t>
      </w:r>
      <w:r w:rsidR="00045110">
        <w:t>these</w:t>
      </w:r>
      <w:r>
        <w:t xml:space="preserve"> emissions would </w:t>
      </w:r>
      <w:r w:rsidR="00045110">
        <w:t xml:space="preserve">still </w:t>
      </w:r>
      <w:r>
        <w:t>be counted in the inventory of the jurisdiction where the gas production or flooded lands are located, and not be allocated to Vermont’s inventory.</w:t>
      </w:r>
      <w:r w:rsidR="00045110">
        <w:t xml:space="preserve">  A further discussion of the IPCC’s recommendations on the use of upstream or lifecycle accounting methods for analysis of mitigation options is provided later in our report under the Issues and Opportunities Section.</w:t>
      </w:r>
    </w:p>
    <w:p w14:paraId="2DF6C287" w14:textId="19444C29" w:rsidR="0041532F" w:rsidRDefault="001720B1" w:rsidP="007E4BAF">
      <w:r w:rsidRPr="000613F5">
        <w:t xml:space="preserve">The </w:t>
      </w:r>
      <w:r w:rsidRPr="001037EF">
        <w:t>2019 Refinement</w:t>
      </w:r>
      <w:r w:rsidRPr="000613F5">
        <w:rPr>
          <w:i/>
          <w:iCs/>
        </w:rPr>
        <w:t xml:space="preserve"> </w:t>
      </w:r>
      <w:r w:rsidR="001258AA">
        <w:t xml:space="preserve">also </w:t>
      </w:r>
      <w:r w:rsidRPr="000613F5">
        <w:t xml:space="preserve">provides new guidance on generic inventory management tools such as workplans, improvement plans, data management systems, quality systems, training and capacity building and documentation procedures. </w:t>
      </w:r>
      <w:r w:rsidR="00306787">
        <w:t>T</w:t>
      </w:r>
      <w:r w:rsidRPr="000613F5">
        <w:t xml:space="preserve">he management tools presented </w:t>
      </w:r>
      <w:r w:rsidR="00306787">
        <w:t xml:space="preserve">are </w:t>
      </w:r>
      <w:r w:rsidRPr="000613F5">
        <w:t xml:space="preserve">not </w:t>
      </w:r>
      <w:r w:rsidR="008156C0" w:rsidRPr="000613F5">
        <w:t>prescriptive</w:t>
      </w:r>
      <w:r w:rsidR="008156C0">
        <w:t xml:space="preserve"> but</w:t>
      </w:r>
      <w:r w:rsidRPr="000613F5">
        <w:t xml:space="preserve"> provide some suggested approaches and examples</w:t>
      </w:r>
      <w:r w:rsidR="00306787">
        <w:t>.</w:t>
      </w:r>
      <w:r w:rsidR="001258AA">
        <w:rPr>
          <w:rStyle w:val="FootnoteReference"/>
        </w:rPr>
        <w:footnoteReference w:id="11"/>
      </w:r>
      <w:r w:rsidRPr="000613F5">
        <w:t xml:space="preserve"> </w:t>
      </w:r>
      <w:r w:rsidR="00045110">
        <w:t xml:space="preserve"> </w:t>
      </w:r>
      <w:r w:rsidR="0041532F">
        <w:t xml:space="preserve">  </w:t>
      </w:r>
    </w:p>
    <w:p w14:paraId="6CC483EC" w14:textId="07DCDC20" w:rsidR="00892E4D" w:rsidRDefault="00892E4D" w:rsidP="001258AA">
      <w:pPr>
        <w:pStyle w:val="Heading2"/>
      </w:pPr>
      <w:bookmarkStart w:id="20" w:name="_Toc78869945"/>
      <w:r>
        <w:t>EPA Guidance</w:t>
      </w:r>
      <w:bookmarkEnd w:id="20"/>
    </w:p>
    <w:p w14:paraId="3EF564F5" w14:textId="0EB05375" w:rsidR="00892E4D" w:rsidRDefault="001258AA" w:rsidP="00892E4D">
      <w:r>
        <w:t xml:space="preserve">The EPA provides guidance to states for inventories through the SIT tool.  The EPA is also responsible for preparing the U.S. </w:t>
      </w:r>
      <w:r w:rsidR="00105717">
        <w:t xml:space="preserve">National </w:t>
      </w:r>
      <w:r>
        <w:t xml:space="preserve">GHG Inventory, and the methods and processes used therein also provide a reference point. A quote from the Executive Summary of the National Inventory Report indicates </w:t>
      </w:r>
      <w:r w:rsidR="00374641">
        <w:t xml:space="preserve">adherence to common inventory reporting formats </w:t>
      </w:r>
      <w:r w:rsidR="00015F19">
        <w:t>need</w:t>
      </w:r>
      <w:r w:rsidR="00374641">
        <w:t xml:space="preserve"> not preclude alternative </w:t>
      </w:r>
      <w:r w:rsidR="00015F19">
        <w:t>examinations…</w:t>
      </w:r>
      <w:r w:rsidR="009A6DB4">
        <w:t xml:space="preserve"> </w:t>
      </w:r>
    </w:p>
    <w:p w14:paraId="4C4923EE" w14:textId="4268884C" w:rsidR="00015F19" w:rsidRDefault="00015F19" w:rsidP="00015F19">
      <w:pPr>
        <w:ind w:left="720"/>
        <w:jc w:val="center"/>
      </w:pPr>
      <w:r>
        <w:t>“</w:t>
      </w:r>
      <w:r w:rsidR="00312480">
        <w:t xml:space="preserve">The presentation of emissions and removals provided in this Inventory </w:t>
      </w:r>
      <w:r w:rsidR="00312480" w:rsidRPr="001037EF">
        <w:rPr>
          <w:b/>
          <w:bCs/>
          <w:i/>
          <w:iCs/>
        </w:rPr>
        <w:t>does not preclude alternative examinations</w:t>
      </w:r>
      <w:r w:rsidR="00312480">
        <w:t>, but rather this Inventory presents emissions and removals in a common format consistent with how countries are to report Inventories under the UNFCCC.</w:t>
      </w:r>
      <w:r>
        <w:t>”</w:t>
      </w:r>
      <w:r w:rsidR="003D71F8">
        <w:t xml:space="preserve"> </w:t>
      </w:r>
      <w:r w:rsidR="00BF27F9">
        <w:rPr>
          <w:rStyle w:val="FootnoteReference"/>
        </w:rPr>
        <w:footnoteReference w:id="12"/>
      </w:r>
    </w:p>
    <w:p w14:paraId="1D605F83" w14:textId="4E65CBCF" w:rsidR="00B0290A" w:rsidRPr="00892E4D" w:rsidRDefault="00D82493" w:rsidP="00D82493">
      <w:r>
        <w:t xml:space="preserve">The </w:t>
      </w:r>
      <w:r w:rsidR="00B67226">
        <w:t xml:space="preserve">Appendix B </w:t>
      </w:r>
      <w:r>
        <w:t xml:space="preserve">crosswalk table </w:t>
      </w:r>
      <w:r w:rsidR="00B67226">
        <w:t xml:space="preserve">includes a column for the U.S. National Inventory with further details on areas where </w:t>
      </w:r>
      <w:r>
        <w:t xml:space="preserve">the National Inventory is similar or different from </w:t>
      </w:r>
      <w:r w:rsidR="00B67226">
        <w:t>Vermont</w:t>
      </w:r>
      <w:r>
        <w:t xml:space="preserve"> and the other three comparison states. </w:t>
      </w:r>
    </w:p>
    <w:p w14:paraId="055123D6" w14:textId="25FAE1C8" w:rsidR="0054138E" w:rsidRDefault="0054138E" w:rsidP="0054138E">
      <w:pPr>
        <w:pStyle w:val="Heading2"/>
      </w:pPr>
      <w:bookmarkStart w:id="21" w:name="_Toc78869946"/>
      <w:r>
        <w:lastRenderedPageBreak/>
        <w:t xml:space="preserve">Comparison </w:t>
      </w:r>
      <w:r w:rsidR="00CE58AB">
        <w:t xml:space="preserve">and Examples from </w:t>
      </w:r>
      <w:r w:rsidR="00282924">
        <w:t>Select Leading</w:t>
      </w:r>
      <w:r>
        <w:t xml:space="preserve"> States</w:t>
      </w:r>
      <w:bookmarkEnd w:id="21"/>
    </w:p>
    <w:p w14:paraId="598461D0" w14:textId="77777777" w:rsidR="003E55B6" w:rsidRDefault="00A8216C" w:rsidP="0054138E">
      <w:r>
        <w:t xml:space="preserve">The technical consultant team also reviewed state inventories and methods for </w:t>
      </w:r>
      <w:r w:rsidR="00FB5FFB">
        <w:t xml:space="preserve">California, Massachusetts, and New York.  We also reviewed and comment in a following section of this report on the CBEI methods adopted in Oregon and Minnesota.  </w:t>
      </w:r>
      <w:r w:rsidR="00CE07C1">
        <w:t>T</w:t>
      </w:r>
      <w:r w:rsidR="00FB5FFB">
        <w:t>hese states are</w:t>
      </w:r>
      <w:r w:rsidR="00080881">
        <w:t xml:space="preserve"> taking the challenges of climate change seriously and contributing as leaders in the development of state legislation, policies, plans and actions to reduce emissions.</w:t>
      </w:r>
      <w:r w:rsidR="00E92A11">
        <w:t xml:space="preserve">  Select examples of where the California, Massachusetts and New York inventories can offer insights for Vermont are provided below.  </w:t>
      </w:r>
    </w:p>
    <w:p w14:paraId="20368BF1" w14:textId="1E27244B" w:rsidR="00B51997" w:rsidRDefault="00B51997" w:rsidP="0054138E">
      <w:r>
        <w:t>To complement the official state inventory, the California Air Resources Board has produced supplemental reports on Short Lived Climate Pollutants (SLCP)</w:t>
      </w:r>
      <w:r>
        <w:rPr>
          <w:rStyle w:val="FootnoteReference"/>
        </w:rPr>
        <w:footnoteReference w:id="13"/>
      </w:r>
      <w:r>
        <w:t xml:space="preserve">, and </w:t>
      </w:r>
      <w:r w:rsidR="00750399">
        <w:t>an Inventory of</w:t>
      </w:r>
      <w:r>
        <w:t xml:space="preserve"> Natural and Working Lands (NWL).</w:t>
      </w:r>
      <w:r>
        <w:rPr>
          <w:rStyle w:val="FootnoteReference"/>
        </w:rPr>
        <w:footnoteReference w:id="14"/>
      </w:r>
      <w:r>
        <w:t xml:space="preserve">  SLCPs include hydrofluorocarbons, methane, and black carbon.  The SLCP Reduction Strategy recognizes the climate and public health impacts from these gases are more immediate, targeted action is necessary, and there are viable opportunities to reduce SLCP both locally and globally.  The strategy recommends adoption of gas specific SLCP reduction targets that will contribute and be consistent with overall GHG targets and will also provide health and other co-benefits.</w:t>
      </w:r>
    </w:p>
    <w:p w14:paraId="0B70E1D6" w14:textId="696F0695" w:rsidR="00080881" w:rsidRDefault="00695F55" w:rsidP="0054138E">
      <w:r>
        <w:t xml:space="preserve">As noted above, Vermont has already adopted a tool for estimating emissions from ODS substitutes </w:t>
      </w:r>
      <w:r w:rsidR="009F7DCD">
        <w:t xml:space="preserve">(which are </w:t>
      </w:r>
      <w:r w:rsidR="00B51997">
        <w:t xml:space="preserve">HFCs and SLCPs) </w:t>
      </w:r>
      <w:r>
        <w:t xml:space="preserve">developed by California.  Accounting for the rising importance of ODS substitutes is important to support strategies and actions that can reduce these emissions, by for example the use of alternative refrigerants and implementation of refrigerant management programs.  The California tool for ODS substitutes has also been adopted by </w:t>
      </w:r>
      <w:r w:rsidR="0023061C">
        <w:t xml:space="preserve">New York and is being considered by Massachusetts.  </w:t>
      </w:r>
      <w:r w:rsidR="00704355">
        <w:t>An SLCP strategy and the investigation of SLCP mitigation strategies in Vermont would address opportunities for manure management, bio</w:t>
      </w:r>
      <w:r w:rsidR="003D10CF">
        <w:t>-digesters,</w:t>
      </w:r>
      <w:r w:rsidR="00704355">
        <w:t xml:space="preserve"> and other measures to reduce direct methane emissions from agriculture.  </w:t>
      </w:r>
      <w:r>
        <w:t xml:space="preserve"> </w:t>
      </w:r>
      <w:r w:rsidR="00080881">
        <w:t xml:space="preserve">  </w:t>
      </w:r>
    </w:p>
    <w:p w14:paraId="3B804F18" w14:textId="4295E756" w:rsidR="00B45F97" w:rsidRPr="00A825C1" w:rsidRDefault="00482F14" w:rsidP="0054138E">
      <w:r>
        <w:t xml:space="preserve">New York’s Inventory </w:t>
      </w:r>
      <w:r w:rsidR="000D23D9">
        <w:t>uses another method to</w:t>
      </w:r>
      <w:r>
        <w:t xml:space="preserve"> recognize</w:t>
      </w:r>
      <w:r w:rsidR="000D23D9">
        <w:t xml:space="preserve"> the importance of</w:t>
      </w:r>
      <w:r>
        <w:t xml:space="preserve"> </w:t>
      </w:r>
      <w:r w:rsidR="00A825C1">
        <w:t>accounting for the shorter-term impacts of CH</w:t>
      </w:r>
      <w:r w:rsidR="00A825C1">
        <w:rPr>
          <w:vertAlign w:val="subscript"/>
        </w:rPr>
        <w:t>4</w:t>
      </w:r>
      <w:r w:rsidR="00A825C1">
        <w:t xml:space="preserve"> </w:t>
      </w:r>
      <w:r w:rsidR="00737FDD">
        <w:t>and provides a supplemental calculation of methane</w:t>
      </w:r>
      <w:r w:rsidR="00E54719">
        <w:t xml:space="preserve">’s contribution to total emissions </w:t>
      </w:r>
      <w:r w:rsidR="00B86089">
        <w:t>based on a 20</w:t>
      </w:r>
      <w:r w:rsidR="00B74EC5">
        <w:t>-</w:t>
      </w:r>
      <w:r w:rsidR="00B86089">
        <w:t>year GWP as opposed to the 100</w:t>
      </w:r>
      <w:r w:rsidR="004359B5">
        <w:t>-</w:t>
      </w:r>
      <w:r w:rsidR="00B86089">
        <w:t>year period used for the</w:t>
      </w:r>
      <w:r w:rsidR="000D23D9">
        <w:t xml:space="preserve"> main </w:t>
      </w:r>
      <w:r w:rsidR="00617C6A">
        <w:t xml:space="preserve">inventory.  </w:t>
      </w:r>
      <w:r w:rsidR="00B74EC5">
        <w:t>With a 100-year horizon</w:t>
      </w:r>
      <w:r w:rsidR="00B86089">
        <w:t xml:space="preserve"> </w:t>
      </w:r>
      <w:r w:rsidR="00B74EC5">
        <w:t>CH4 accounts for 19.83 MMTCO</w:t>
      </w:r>
      <w:r w:rsidR="00B74EC5" w:rsidRPr="001037EF">
        <w:rPr>
          <w:vertAlign w:val="subscript"/>
        </w:rPr>
        <w:t>2</w:t>
      </w:r>
      <w:r w:rsidR="00B74EC5">
        <w:t>e</w:t>
      </w:r>
      <w:r w:rsidR="00606B3C">
        <w:t>, while with a shorter 20</w:t>
      </w:r>
      <w:r w:rsidR="00F30E00">
        <w:t>-</w:t>
      </w:r>
      <w:r w:rsidR="00606B3C">
        <w:t xml:space="preserve">year horizon </w:t>
      </w:r>
      <w:r w:rsidR="004359B5">
        <w:t>CH</w:t>
      </w:r>
      <w:r w:rsidR="004359B5" w:rsidRPr="001037EF">
        <w:rPr>
          <w:vertAlign w:val="subscript"/>
        </w:rPr>
        <w:t>4</w:t>
      </w:r>
      <w:r w:rsidR="004359B5">
        <w:t xml:space="preserve"> is responsible for 57.11 MMTCO</w:t>
      </w:r>
      <w:r w:rsidR="004359B5" w:rsidRPr="001037EF">
        <w:rPr>
          <w:vertAlign w:val="subscript"/>
        </w:rPr>
        <w:t>2</w:t>
      </w:r>
      <w:r w:rsidR="004359B5">
        <w:t>e.</w:t>
      </w:r>
      <w:r w:rsidR="00B65601">
        <w:rPr>
          <w:rStyle w:val="FootnoteReference"/>
        </w:rPr>
        <w:footnoteReference w:id="15"/>
      </w:r>
      <w:r w:rsidR="004359B5">
        <w:t xml:space="preserve">  </w:t>
      </w:r>
      <w:r w:rsidR="003E2E0D">
        <w:t xml:space="preserve">While continuing to account </w:t>
      </w:r>
      <w:r w:rsidR="003E2E0D">
        <w:lastRenderedPageBreak/>
        <w:t xml:space="preserve">for methane using the 100-year horizon consistent with IPCC guidance, the supplemental analysis can support investigation of mitigation options for sources of methane emissions including the waste, agriculture, and fossil fuel production sectors.  Note that mitigation strategies reducing direct methane emissions could be prioritized even if they are not emissions that occur in the state boundaries.  </w:t>
      </w:r>
    </w:p>
    <w:p w14:paraId="21B1A436" w14:textId="0188B35B" w:rsidR="002B1CBF" w:rsidRDefault="002B1CBF" w:rsidP="0054138E">
      <w:r>
        <w:t>California</w:t>
      </w:r>
      <w:r w:rsidR="00BF50D3">
        <w:t>’s</w:t>
      </w:r>
      <w:r w:rsidR="00D67F98">
        <w:t xml:space="preserve"> NWL Inventory provides an important complement to the GHG Inventory, providing a quantitative estimate of the existing state of ecosystem carbon and fluxes associated with </w:t>
      </w:r>
      <w:r w:rsidR="00BD5817">
        <w:t xml:space="preserve">stock change in the landscape. </w:t>
      </w:r>
      <w:r w:rsidR="00591CE8">
        <w:t xml:space="preserve"> </w:t>
      </w:r>
      <w:r w:rsidR="007F01B2">
        <w:t>Under Task 2 the</w:t>
      </w:r>
      <w:r w:rsidR="00D10FDB">
        <w:t xml:space="preserve"> technical consultant team is </w:t>
      </w:r>
      <w:r w:rsidR="007F01B2">
        <w:t xml:space="preserve">working on the development of a carbon budget for Vermont.  </w:t>
      </w:r>
      <w:r w:rsidR="00BF50D3">
        <w:t xml:space="preserve"> </w:t>
      </w:r>
    </w:p>
    <w:p w14:paraId="1CC3F633" w14:textId="7DC5B51D" w:rsidR="00AA17D9" w:rsidRDefault="00AA17D9" w:rsidP="0054138E">
      <w:r>
        <w:t xml:space="preserve">The Massachusetts Department of Environmental Conservation (MADEC) has developed a detailed workbook to account for the settlement of Renewable Energy Credits (RECs) within New England’s regional electricity markets.  </w:t>
      </w:r>
      <w:r w:rsidR="00A13EEC">
        <w:t xml:space="preserve">As </w:t>
      </w:r>
      <w:r w:rsidR="00B74692">
        <w:t xml:space="preserve">utilities and project developers in </w:t>
      </w:r>
      <w:r w:rsidR="00A13EEC">
        <w:t>Vermont both sells REC’s from select renewable electricity generating plants located within Vermont, and purchases REC’s</w:t>
      </w:r>
      <w:r w:rsidR="00950B8F">
        <w:t>,</w:t>
      </w:r>
      <w:r w:rsidR="00A13EEC">
        <w:t xml:space="preserve"> from other </w:t>
      </w:r>
      <w:r w:rsidR="00950B8F">
        <w:t xml:space="preserve">jurisdictions, a comprehensive and accurate system for identifying REC settlements </w:t>
      </w:r>
      <w:r w:rsidR="00FE321D">
        <w:t xml:space="preserve">for the region </w:t>
      </w:r>
      <w:r w:rsidR="00950B8F">
        <w:t xml:space="preserve">is necessary.  </w:t>
      </w:r>
      <w:r w:rsidR="00881C8F">
        <w:t xml:space="preserve">Vermont has not used the Massachusetts DEC workbook for REC settlement information in the past but is considering adopting it for future Inventories. </w:t>
      </w:r>
    </w:p>
    <w:p w14:paraId="57BBC5BA" w14:textId="77777777" w:rsidR="00F77984" w:rsidRDefault="00F77984" w:rsidP="001037EF">
      <w:pPr>
        <w:pStyle w:val="Heading2"/>
      </w:pPr>
      <w:bookmarkStart w:id="22" w:name="_Toc78869947"/>
      <w:r>
        <w:t>Emissions Inventory Crosswalk and Good Practices</w:t>
      </w:r>
      <w:bookmarkEnd w:id="22"/>
      <w:r>
        <w:t xml:space="preserve"> </w:t>
      </w:r>
    </w:p>
    <w:p w14:paraId="6639C838" w14:textId="48345F89" w:rsidR="00510D9E" w:rsidRDefault="00881C8F" w:rsidP="0054138E">
      <w:r>
        <w:t xml:space="preserve">Appendix B provides a crosswalk table with high level comparison of Vermont to the inventories discussed above.  </w:t>
      </w:r>
      <w:r w:rsidR="00466A6B">
        <w:t>We observe there</w:t>
      </w:r>
      <w:r w:rsidR="0046479F">
        <w:t xml:space="preserve"> are </w:t>
      </w:r>
      <w:r w:rsidR="005C6D2C">
        <w:t xml:space="preserve">significant areas of </w:t>
      </w:r>
      <w:r w:rsidR="00466A6B">
        <w:t xml:space="preserve">consistency across the inventories, as well as select areas where approaches from the other jurisdictions may be helpful to inform future changes in Vermont’s Inventory.  </w:t>
      </w:r>
      <w:r w:rsidR="00C02C61">
        <w:t xml:space="preserve">Given the inventories are consistent across most of the major methods and approaches, and that </w:t>
      </w:r>
      <w:r w:rsidR="0046609A">
        <w:t xml:space="preserve">the </w:t>
      </w:r>
      <w:r w:rsidR="00C02C61">
        <w:t>Agencies completing the Inventories are open to future changes as data, climate science, and issues evolve t</w:t>
      </w:r>
      <w:r w:rsidR="00466A6B">
        <w:t xml:space="preserve">he technical consultant team </w:t>
      </w:r>
      <w:r w:rsidR="00C02C61">
        <w:t>prefers the term “good practice” as more appropriate than “best practice”</w:t>
      </w:r>
      <w:r w:rsidR="00C1204A">
        <w:t xml:space="preserve"> and we would </w:t>
      </w:r>
      <w:r w:rsidR="00AA7AD8">
        <w:t>rate all of the inventories reviewed as following good practice</w:t>
      </w:r>
      <w:r w:rsidR="00DD6401">
        <w:t xml:space="preserve">s </w:t>
      </w:r>
      <w:r w:rsidR="00855156">
        <w:t xml:space="preserve">in the major categories. </w:t>
      </w:r>
    </w:p>
    <w:p w14:paraId="52A56A03" w14:textId="51924005" w:rsidR="0080415D" w:rsidRDefault="0080415D" w:rsidP="0080415D">
      <w:pPr>
        <w:pStyle w:val="Heading1"/>
      </w:pPr>
      <w:bookmarkStart w:id="23" w:name="_Toc78869948"/>
      <w:r>
        <w:t>Consumption-Based Emissions Inventor</w:t>
      </w:r>
      <w:r w:rsidR="00B96754">
        <w:t>ies</w:t>
      </w:r>
      <w:bookmarkEnd w:id="23"/>
    </w:p>
    <w:p w14:paraId="2EE0C7AA" w14:textId="77777777" w:rsidR="0080415D" w:rsidRDefault="0080415D" w:rsidP="0080415D">
      <w:pPr>
        <w:pStyle w:val="Heading2"/>
      </w:pPr>
      <w:bookmarkStart w:id="24" w:name="_Toc78869949"/>
      <w:r>
        <w:t>Review of Key Differences and Similarities between Consumption- and Sector- Based Inventories</w:t>
      </w:r>
      <w:bookmarkEnd w:id="24"/>
    </w:p>
    <w:p w14:paraId="00587EAE" w14:textId="2BB5E279" w:rsidR="0080415D" w:rsidRPr="005C341E" w:rsidRDefault="0080415D" w:rsidP="0080415D">
      <w:r w:rsidRPr="005C341E">
        <w:t xml:space="preserve">A consumption-based inventory is a method to estimate greenhouse gas emissions produced around the world due to the consumption of energy, goods, and services in one place, in this case, one state. This inventory estimates the lifecycle emissions of all commodities used within </w:t>
      </w:r>
      <w:r w:rsidRPr="005C341E">
        <w:lastRenderedPageBreak/>
        <w:t>a state, including, for example, cars, food, fuels, appliances and clothing (taken from Oregon).</w:t>
      </w:r>
      <w:r w:rsidRPr="005C341E">
        <w:rPr>
          <w:rStyle w:val="FootnoteReference"/>
          <w:szCs w:val="24"/>
        </w:rPr>
        <w:footnoteReference w:id="16"/>
      </w:r>
      <w:r w:rsidRPr="005C341E">
        <w:t xml:space="preserve">  Lifecycle emissions means that the inventory measures the total emissions from producing, transporting, using, and disposing of a commodity, often referred to as a “cradle to grave” methodology.</w:t>
      </w:r>
      <w:r w:rsidRPr="005C341E">
        <w:rPr>
          <w:rStyle w:val="FootnoteReference"/>
          <w:szCs w:val="24"/>
        </w:rPr>
        <w:footnoteReference w:id="17"/>
      </w:r>
      <w:r w:rsidRPr="005C341E">
        <w:t xml:space="preserve"> A consumption-based inventory allows jurisdictions to account for emissions from products manufactured outside of </w:t>
      </w:r>
      <w:r w:rsidR="001D6A51">
        <w:t xml:space="preserve">its boundaries, imported, </w:t>
      </w:r>
      <w:r w:rsidRPr="005C341E">
        <w:t xml:space="preserve">and consumed within </w:t>
      </w:r>
      <w:r w:rsidR="001D6A51">
        <w:t>its boundaries. This</w:t>
      </w:r>
      <w:r w:rsidRPr="005C341E">
        <w:t xml:space="preserve"> allows for a fuller understanding of the true impact of one jurisdiction on global climate change. Vermont does not currently use a consumption-based inventory when accounting for the greenhouse gasses attributable to Vermont.</w:t>
      </w:r>
      <w:r w:rsidRPr="005C341E">
        <w:rPr>
          <w:b/>
          <w:bCs/>
        </w:rPr>
        <w:br/>
      </w:r>
      <w:r w:rsidRPr="005C341E">
        <w:rPr>
          <w:b/>
          <w:bCs/>
        </w:rPr>
        <w:br/>
      </w:r>
      <w:r w:rsidRPr="005C341E">
        <w:t>A sector-based inventory measures greenhouse gas emissions generated by humans produced within a given boundary by economic sector. In the case of Oregon, the sector-based inventory is divided into Transportation, Electricity, Natural Gas, Residential &amp; Commercial, Industrial, and Agriculture.</w:t>
      </w:r>
      <w:r w:rsidRPr="005C341E">
        <w:rPr>
          <w:rStyle w:val="FootnoteReference"/>
          <w:szCs w:val="24"/>
        </w:rPr>
        <w:footnoteReference w:id="18"/>
      </w:r>
      <w:r w:rsidRPr="005C341E">
        <w:t xml:space="preserve"> Th</w:t>
      </w:r>
      <w:r w:rsidR="001D6A51">
        <w:t>e sector-based</w:t>
      </w:r>
      <w:r w:rsidRPr="005C341E">
        <w:t xml:space="preserve"> inventory methodology is </w:t>
      </w:r>
      <w:r w:rsidR="001D6A51">
        <w:t xml:space="preserve">consistent with EPA and IPCC guidance and is </w:t>
      </w:r>
      <w:r w:rsidRPr="005C341E">
        <w:t>more common practice for states than using a consumption-based inventory. Vermont currently uses a sector-based inventory to account for its greenhouse gas emissions.</w:t>
      </w:r>
      <w:r w:rsidRPr="005C341E">
        <w:br/>
      </w:r>
      <w:r w:rsidRPr="005C341E">
        <w:br/>
        <w:t xml:space="preserve">Unlike a consumption-based inventory, a sector-based inventory </w:t>
      </w:r>
      <w:r w:rsidR="001D6A51">
        <w:t>primarily accounts for</w:t>
      </w:r>
      <w:r w:rsidRPr="005C341E">
        <w:t xml:space="preserve"> emissions generated within a state border, with </w:t>
      </w:r>
      <w:r w:rsidR="001D6A51">
        <w:t xml:space="preserve">an important </w:t>
      </w:r>
      <w:r w:rsidRPr="005C341E">
        <w:t>exception often being emissions associated with electricity consumed within the state but produced elsewhere</w:t>
      </w:r>
      <w:r>
        <w:t>.  This reflects the current method in Orgon and Vermont</w:t>
      </w:r>
      <w:r w:rsidRPr="005C341E">
        <w:t xml:space="preserve">. While the sector-based inventory is divided up by sector, a consumption-based inventory is divided up by commodity category including, for example, vehicles and parts, food and beverages, and appliances (which are the three categories contributing most to emissions in Oregon’s consumption-based inventory). </w:t>
      </w:r>
    </w:p>
    <w:p w14:paraId="5E009C58" w14:textId="77777777" w:rsidR="0080415D" w:rsidRDefault="0080415D" w:rsidP="0080415D">
      <w:pPr>
        <w:pStyle w:val="Heading2"/>
      </w:pPr>
      <w:bookmarkStart w:id="25" w:name="_Toc78869950"/>
      <w:r>
        <w:t>Consumption-Based Inventory Experience from Oregon and Minnesota</w:t>
      </w:r>
      <w:bookmarkEnd w:id="25"/>
    </w:p>
    <w:p w14:paraId="587AD295" w14:textId="289DA2F1" w:rsidR="0080415D" w:rsidRPr="00DD2B72" w:rsidRDefault="0080415D" w:rsidP="0080415D">
      <w:pPr>
        <w:rPr>
          <w:rFonts w:cs="Calibri"/>
        </w:rPr>
      </w:pPr>
      <w:r w:rsidRPr="00DD2B72">
        <w:t xml:space="preserve">In 2011, Oregon published the nation’s first sub-national consumption-based greenhouse gas emissions inventory. Minnesota now also </w:t>
      </w:r>
      <w:r w:rsidR="001D6A51">
        <w:t>conducts a</w:t>
      </w:r>
      <w:r w:rsidRPr="00DD2B72">
        <w:t xml:space="preserve"> consumption-based inventory. Both states use both the consumption-based inventory in addition to accounting for their emissions in </w:t>
      </w:r>
      <w:r w:rsidR="001D6A51">
        <w:t>the more conventional</w:t>
      </w:r>
      <w:r w:rsidRPr="00DD2B72">
        <w:t xml:space="preserve"> sector-based and “in-boundary” approach</w:t>
      </w:r>
      <w:r w:rsidR="001D6A51">
        <w:t xml:space="preserve">. </w:t>
      </w:r>
      <w:r w:rsidRPr="00DD2B72">
        <w:t>Crucially, both Oregon and Minnesota consider their consumption-based inventories to be complementary to their sector-based inventories</w:t>
      </w:r>
      <w:r w:rsidR="001D6A51">
        <w:t>.</w:t>
      </w:r>
      <w:r w:rsidR="001D6A51" w:rsidRPr="00DD2B72" w:rsidDel="001D6A51">
        <w:t xml:space="preserve"> </w:t>
      </w:r>
      <w:r w:rsidRPr="00DD2B72">
        <w:br/>
      </w:r>
      <w:r w:rsidRPr="00DD2B72">
        <w:lastRenderedPageBreak/>
        <w:t>The Oregon Global Warming Commission primarily uses data from their sector-based inventory to evaluate progress toward the state’s emissions reduction goals and to make recommendations to the Legislature.</w:t>
      </w:r>
      <w:r w:rsidRPr="00DD2B72">
        <w:rPr>
          <w:rFonts w:cs="Calibri"/>
          <w:vertAlign w:val="superscript"/>
        </w:rPr>
        <w:footnoteReference w:id="19"/>
      </w:r>
      <w:r w:rsidRPr="00DD2B72">
        <w:t xml:space="preserve"> However, they state, “</w:t>
      </w:r>
      <w:r w:rsidRPr="00DD2B72">
        <w:rPr>
          <w:rFonts w:cs="Calibri"/>
        </w:rPr>
        <w:t>assessing the consumption-based inventory relative to the goals identifies additional opportunities to reduce emissions, and helps to ensure that emission reductions occurring within Oregon, as a result of state policy, are true global reductions and Oregon is not simply shifting emissions to locations outside of the state.”</w:t>
      </w:r>
    </w:p>
    <w:p w14:paraId="7AED7498" w14:textId="706D352B" w:rsidR="0080415D" w:rsidRDefault="0080415D" w:rsidP="0080415D">
      <w:pPr>
        <w:rPr>
          <w:rFonts w:cs="Calibri"/>
        </w:rPr>
      </w:pPr>
      <w:r w:rsidRPr="00DD2B72">
        <w:rPr>
          <w:rFonts w:eastAsia="Times New Roman" w:cs="Calibri"/>
        </w:rPr>
        <w:t>In Minnesota, the in-boundary inventory is required by law and is conducted</w:t>
      </w:r>
      <w:r>
        <w:rPr>
          <w:rFonts w:eastAsia="Times New Roman" w:cs="Calibri"/>
        </w:rPr>
        <w:t xml:space="preserve"> </w:t>
      </w:r>
      <w:r w:rsidRPr="00DD2B72">
        <w:rPr>
          <w:rFonts w:eastAsia="Times New Roman" w:cs="Calibri"/>
        </w:rPr>
        <w:t>every two years</w:t>
      </w:r>
      <w:r>
        <w:rPr>
          <w:rFonts w:eastAsia="Times New Roman" w:cs="Calibri"/>
        </w:rPr>
        <w:t>. It</w:t>
      </w:r>
      <w:r w:rsidRPr="00DD2B72">
        <w:rPr>
          <w:rFonts w:eastAsia="Times New Roman" w:cs="Calibri"/>
        </w:rPr>
        <w:t xml:space="preserve"> is used to develop priorities for emissions reductions based on the sectors.</w:t>
      </w:r>
      <w:r w:rsidRPr="00DD2B72">
        <w:rPr>
          <w:rFonts w:eastAsia="Times New Roman" w:cs="Calibri"/>
          <w:vertAlign w:val="superscript"/>
        </w:rPr>
        <w:footnoteReference w:id="20"/>
      </w:r>
      <w:r w:rsidRPr="00DD2B72">
        <w:rPr>
          <w:rFonts w:eastAsia="Times New Roman" w:cs="Calibri"/>
        </w:rPr>
        <w:t xml:space="preserve"> </w:t>
      </w:r>
      <w:r w:rsidRPr="00DD2B72">
        <w:rPr>
          <w:rFonts w:eastAsia="Times New Roman" w:cs="Calibri"/>
        </w:rPr>
        <w:br/>
      </w:r>
      <w:r w:rsidRPr="00DD2B72">
        <w:rPr>
          <w:rFonts w:eastAsia="Times New Roman" w:cs="Calibri"/>
        </w:rPr>
        <w:br/>
      </w:r>
      <w:r w:rsidR="001D6A51">
        <w:t>D</w:t>
      </w:r>
      <w:r w:rsidRPr="00DD2B72">
        <w:t xml:space="preserve">ifferences </w:t>
      </w:r>
      <w:r w:rsidR="001D6A51">
        <w:t>in these two</w:t>
      </w:r>
      <w:r w:rsidRPr="00DD2B72">
        <w:t xml:space="preserve"> methodolog</w:t>
      </w:r>
      <w:r w:rsidR="001D6A51">
        <w:t>ies</w:t>
      </w:r>
      <w:r w:rsidRPr="00DD2B72">
        <w:t xml:space="preserve"> result in differences in greenhouse gas emission </w:t>
      </w:r>
      <w:r w:rsidR="0024567E">
        <w:t>estimate</w:t>
      </w:r>
      <w:r w:rsidRPr="00DD2B72">
        <w:t xml:space="preserve">s. For example, in Oregon in 2015, sector-based emissions were 63 MTCO2e. By comparison, Oregon’s consumption-based emissions in 2015 were 89 million MTCO2e. </w:t>
      </w:r>
      <w:r w:rsidRPr="00DD2B72">
        <w:rPr>
          <w:rFonts w:eastAsia="Times New Roman" w:cs="Calibri"/>
        </w:rPr>
        <w:t>Oregon estimates that more than half of the consumption-based emissions occur in other states or nations and are not included in the sector-based inventory.</w:t>
      </w:r>
      <w:r w:rsidRPr="00DD2B72">
        <w:rPr>
          <w:rFonts w:cs="Calibri"/>
        </w:rPr>
        <w:br/>
      </w:r>
      <w:r w:rsidRPr="00DD2B72">
        <w:rPr>
          <w:rFonts w:cs="Calibri"/>
        </w:rPr>
        <w:br/>
      </w:r>
      <w:r>
        <w:rPr>
          <w:noProof/>
        </w:rPr>
        <w:drawing>
          <wp:inline distT="0" distB="0" distL="0" distR="0" wp14:anchorId="5D0420BA" wp14:editId="4596FCAE">
            <wp:extent cx="6376158" cy="3316147"/>
            <wp:effectExtent l="0" t="0" r="5715" b="0"/>
            <wp:docPr id="2821" name="Picture 282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1" name="Picture 2821" descr="Chart, line chart&#10;&#10;Description automatically generated"/>
                    <pic:cNvPicPr/>
                  </pic:nvPicPr>
                  <pic:blipFill>
                    <a:blip r:embed="rId14"/>
                    <a:stretch>
                      <a:fillRect/>
                    </a:stretch>
                  </pic:blipFill>
                  <pic:spPr>
                    <a:xfrm>
                      <a:off x="0" y="0"/>
                      <a:ext cx="6381046" cy="3318689"/>
                    </a:xfrm>
                    <a:prstGeom prst="rect">
                      <a:avLst/>
                    </a:prstGeom>
                  </pic:spPr>
                </pic:pic>
              </a:graphicData>
            </a:graphic>
          </wp:inline>
        </w:drawing>
      </w:r>
    </w:p>
    <w:p w14:paraId="23813997" w14:textId="6ADB93EB" w:rsidR="0080415D" w:rsidRDefault="0080415D" w:rsidP="0080415D">
      <w:pPr>
        <w:rPr>
          <w:rFonts w:cs="Calibri"/>
        </w:rPr>
      </w:pPr>
      <w:r w:rsidRPr="009126BA">
        <w:rPr>
          <w:rFonts w:cs="Calibri"/>
          <w:b/>
        </w:rPr>
        <w:lastRenderedPageBreak/>
        <w:t xml:space="preserve">Figure </w:t>
      </w:r>
      <w:r w:rsidR="009126BA" w:rsidRPr="009126BA">
        <w:rPr>
          <w:rFonts w:cs="Calibri"/>
          <w:b/>
          <w:bCs/>
        </w:rPr>
        <w:t>3</w:t>
      </w:r>
      <w:r>
        <w:rPr>
          <w:rFonts w:cs="Calibri"/>
        </w:rPr>
        <w:t xml:space="preserve">: </w:t>
      </w:r>
      <w:r w:rsidRPr="008902B7">
        <w:rPr>
          <w:rFonts w:cs="Calibri"/>
        </w:rPr>
        <w:t>Trends in Oregon sector-based and consumption-based greenhouse gas emissions, 1990-2015</w:t>
      </w:r>
      <w:r>
        <w:rPr>
          <w:rFonts w:cs="Calibri"/>
        </w:rPr>
        <w:t>.</w:t>
      </w:r>
      <w:r>
        <w:rPr>
          <w:rStyle w:val="FootnoteReference"/>
          <w:rFonts w:cs="Calibri"/>
        </w:rPr>
        <w:footnoteReference w:id="21"/>
      </w:r>
      <w:r>
        <w:rPr>
          <w:rFonts w:cs="Calibri"/>
        </w:rPr>
        <w:t xml:space="preserve"> </w:t>
      </w:r>
    </w:p>
    <w:p w14:paraId="2F8B1A32" w14:textId="21C30472" w:rsidR="0080415D" w:rsidRDefault="00EC4F89" w:rsidP="0080415D">
      <w:pPr>
        <w:rPr>
          <w:rFonts w:cs="Calibri"/>
        </w:rPr>
      </w:pPr>
      <w:r>
        <w:rPr>
          <w:rFonts w:cs="Calibri"/>
        </w:rPr>
        <w:t>Because Oregon considers the consumption-based inventory to be a supplement, rather than a replacement, for their sector-based inventory, the two</w:t>
      </w:r>
      <w:r w:rsidR="002D3D69">
        <w:rPr>
          <w:rFonts w:cs="Calibri"/>
        </w:rPr>
        <w:t xml:space="preserve"> inventories</w:t>
      </w:r>
      <w:r>
        <w:rPr>
          <w:rFonts w:cs="Calibri"/>
        </w:rPr>
        <w:t xml:space="preserve"> considered together </w:t>
      </w:r>
      <w:r w:rsidR="00B144EE">
        <w:rPr>
          <w:rFonts w:cs="Calibri"/>
        </w:rPr>
        <w:t xml:space="preserve">provide </w:t>
      </w:r>
      <w:r>
        <w:rPr>
          <w:rFonts w:cs="Calibri"/>
        </w:rPr>
        <w:t xml:space="preserve">a fuller picture of the state’s emissions. </w:t>
      </w:r>
      <w:r w:rsidR="00D60068">
        <w:rPr>
          <w:rFonts w:cs="Calibri"/>
        </w:rPr>
        <w:t>There is overlap</w:t>
      </w:r>
      <w:r w:rsidR="003D3616">
        <w:rPr>
          <w:rFonts w:cs="Calibri"/>
        </w:rPr>
        <w:t xml:space="preserve"> </w:t>
      </w:r>
      <w:r w:rsidR="00D60068">
        <w:rPr>
          <w:rFonts w:cs="Calibri"/>
        </w:rPr>
        <w:t>between the two inventories and</w:t>
      </w:r>
      <w:r w:rsidR="003D3616">
        <w:rPr>
          <w:rFonts w:cs="Calibri"/>
        </w:rPr>
        <w:t>, in order to prevent double counting,</w:t>
      </w:r>
      <w:r w:rsidR="002D3D69">
        <w:rPr>
          <w:rFonts w:cs="Calibri"/>
        </w:rPr>
        <w:t xml:space="preserve"> </w:t>
      </w:r>
      <w:r w:rsidR="00D60068">
        <w:rPr>
          <w:rFonts w:cs="Calibri"/>
        </w:rPr>
        <w:t>the inventories are never added</w:t>
      </w:r>
      <w:r w:rsidR="002D3D69">
        <w:rPr>
          <w:rFonts w:cs="Calibri"/>
        </w:rPr>
        <w:t xml:space="preserve"> together</w:t>
      </w:r>
      <w:r w:rsidR="00D60068">
        <w:rPr>
          <w:rFonts w:cs="Calibri"/>
        </w:rPr>
        <w:t xml:space="preserve">. </w:t>
      </w:r>
      <w:r w:rsidR="00975C3D">
        <w:rPr>
          <w:rFonts w:cs="Calibri"/>
        </w:rPr>
        <w:t xml:space="preserve">For example, </w:t>
      </w:r>
      <w:r w:rsidR="00975C3D">
        <w:t>a</w:t>
      </w:r>
      <w:r w:rsidR="00975C3D" w:rsidRPr="00DD2B72">
        <w:t>ccording to Oregon’s analysis, the inventories share about 38 million MTCO2e in common</w:t>
      </w:r>
      <w:r w:rsidR="00975C3D">
        <w:t xml:space="preserve"> which </w:t>
      </w:r>
      <w:r w:rsidR="00975C3D" w:rsidRPr="00DD2B72">
        <w:t>includes, for example, emissions from household and government use of energy and waste disposal.</w:t>
      </w:r>
      <w:r w:rsidR="00975C3D">
        <w:t xml:space="preserve"> </w:t>
      </w:r>
      <w:r w:rsidR="00D60068">
        <w:rPr>
          <w:rFonts w:cs="Calibri"/>
        </w:rPr>
        <w:t xml:space="preserve">Rather, </w:t>
      </w:r>
      <w:r w:rsidR="002D3D69">
        <w:rPr>
          <w:rFonts w:cs="Calibri"/>
        </w:rPr>
        <w:t xml:space="preserve">Oregon </w:t>
      </w:r>
      <w:r w:rsidR="003D3616">
        <w:rPr>
          <w:rFonts w:cs="Calibri"/>
        </w:rPr>
        <w:t xml:space="preserve">calculates </w:t>
      </w:r>
      <w:r w:rsidR="00B96A60">
        <w:rPr>
          <w:rFonts w:cs="Calibri"/>
        </w:rPr>
        <w:t xml:space="preserve">the </w:t>
      </w:r>
      <w:r w:rsidR="003D3616">
        <w:rPr>
          <w:rFonts w:cs="Calibri"/>
        </w:rPr>
        <w:t xml:space="preserve">emissions </w:t>
      </w:r>
      <w:r w:rsidR="00D65A77">
        <w:rPr>
          <w:rFonts w:cs="Calibri"/>
        </w:rPr>
        <w:t xml:space="preserve">shared by both inventories and </w:t>
      </w:r>
      <w:r w:rsidR="00B96A60">
        <w:rPr>
          <w:rFonts w:cs="Calibri"/>
        </w:rPr>
        <w:t xml:space="preserve">the </w:t>
      </w:r>
      <w:r w:rsidR="00D65A77">
        <w:rPr>
          <w:rFonts w:cs="Calibri"/>
        </w:rPr>
        <w:t>emissions that are uniquely attributable to each inventory</w:t>
      </w:r>
      <w:r w:rsidR="0047483A">
        <w:rPr>
          <w:rFonts w:cs="Calibri"/>
        </w:rPr>
        <w:t>, which</w:t>
      </w:r>
      <w:r w:rsidR="007D3A18">
        <w:rPr>
          <w:rFonts w:cs="Calibri"/>
        </w:rPr>
        <w:t xml:space="preserve"> together</w:t>
      </w:r>
      <w:r w:rsidR="0047483A">
        <w:rPr>
          <w:rFonts w:cs="Calibri"/>
        </w:rPr>
        <w:t xml:space="preserve"> creates an estimate of the state’s</w:t>
      </w:r>
      <w:r w:rsidR="00B91300">
        <w:rPr>
          <w:rFonts w:cs="Calibri"/>
        </w:rPr>
        <w:t xml:space="preserve"> total contribution to global emissions</w:t>
      </w:r>
      <w:r w:rsidR="00153D34">
        <w:rPr>
          <w:rFonts w:cs="Calibri"/>
        </w:rPr>
        <w:t xml:space="preserve">. Figure 4 illustrates how the two inventories complement one </w:t>
      </w:r>
      <w:r w:rsidR="007B3154">
        <w:rPr>
          <w:rFonts w:cs="Calibri"/>
        </w:rPr>
        <w:t>another.</w:t>
      </w:r>
      <w:r w:rsidR="007B3154">
        <w:rPr>
          <w:rStyle w:val="FootnoteReference"/>
          <w:rFonts w:cs="Calibri"/>
        </w:rPr>
        <w:footnoteReference w:id="22"/>
      </w:r>
    </w:p>
    <w:p w14:paraId="0678AD76" w14:textId="77777777" w:rsidR="0080415D" w:rsidRDefault="0080415D" w:rsidP="0080415D">
      <w:pPr>
        <w:rPr>
          <w:rFonts w:cs="Calibri"/>
        </w:rPr>
      </w:pPr>
      <w:r>
        <w:rPr>
          <w:noProof/>
        </w:rPr>
        <w:drawing>
          <wp:inline distT="0" distB="0" distL="0" distR="0" wp14:anchorId="294353FA" wp14:editId="5CF9106A">
            <wp:extent cx="5943600" cy="3940810"/>
            <wp:effectExtent l="0" t="0" r="0" b="3175"/>
            <wp:docPr id="2826" name="Picture 28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6" name="Picture 2826" descr="Diagram&#10;&#10;Description automatically generated"/>
                    <pic:cNvPicPr/>
                  </pic:nvPicPr>
                  <pic:blipFill>
                    <a:blip r:embed="rId15"/>
                    <a:stretch>
                      <a:fillRect/>
                    </a:stretch>
                  </pic:blipFill>
                  <pic:spPr>
                    <a:xfrm>
                      <a:off x="0" y="0"/>
                      <a:ext cx="5943600" cy="3940810"/>
                    </a:xfrm>
                    <a:prstGeom prst="rect">
                      <a:avLst/>
                    </a:prstGeom>
                  </pic:spPr>
                </pic:pic>
              </a:graphicData>
            </a:graphic>
          </wp:inline>
        </w:drawing>
      </w:r>
    </w:p>
    <w:p w14:paraId="5EA32B4F" w14:textId="32683348" w:rsidR="0080415D" w:rsidRDefault="0080415D" w:rsidP="0080415D">
      <w:pPr>
        <w:rPr>
          <w:rFonts w:cs="Calibri"/>
        </w:rPr>
      </w:pPr>
      <w:r w:rsidRPr="00FE1B39">
        <w:rPr>
          <w:rFonts w:cs="Calibri"/>
          <w:b/>
        </w:rPr>
        <w:lastRenderedPageBreak/>
        <w:t xml:space="preserve">Figure </w:t>
      </w:r>
      <w:r w:rsidR="002A7C27">
        <w:rPr>
          <w:rFonts w:cs="Calibri"/>
          <w:b/>
          <w:bCs/>
        </w:rPr>
        <w:t>4</w:t>
      </w:r>
      <w:r>
        <w:rPr>
          <w:rFonts w:cs="Calibri"/>
        </w:rPr>
        <w:t>: Comparison of Oregon’s 2015 sector- and consumption-based greenhouse gas emissions.</w:t>
      </w:r>
      <w:r>
        <w:rPr>
          <w:rStyle w:val="FootnoteReference"/>
          <w:rFonts w:cs="Calibri"/>
        </w:rPr>
        <w:footnoteReference w:id="23"/>
      </w:r>
    </w:p>
    <w:p w14:paraId="34C14C51" w14:textId="77777777" w:rsidR="0080415D" w:rsidRDefault="0080415D" w:rsidP="0080415D">
      <w:pPr>
        <w:spacing w:line="240" w:lineRule="auto"/>
        <w:rPr>
          <w:rFonts w:asciiTheme="minorHAnsi" w:hAnsiTheme="minorHAnsi" w:cstheme="minorHAnsi"/>
          <w:sz w:val="22"/>
        </w:rPr>
      </w:pPr>
      <w:bookmarkStart w:id="26" w:name="_Toc78869951"/>
      <w:r w:rsidRPr="00CF624C">
        <w:rPr>
          <w:rStyle w:val="Heading2Char"/>
        </w:rPr>
        <w:t xml:space="preserve">Best </w:t>
      </w:r>
      <w:r>
        <w:rPr>
          <w:rStyle w:val="Heading2Char"/>
        </w:rPr>
        <w:t>U</w:t>
      </w:r>
      <w:r w:rsidRPr="00CF624C">
        <w:rPr>
          <w:rStyle w:val="Heading2Char"/>
        </w:rPr>
        <w:t>ses of Consumption-</w:t>
      </w:r>
      <w:r>
        <w:rPr>
          <w:rStyle w:val="Heading2Char"/>
        </w:rPr>
        <w:t>B</w:t>
      </w:r>
      <w:r w:rsidRPr="00CF624C">
        <w:rPr>
          <w:rStyle w:val="Heading2Char"/>
        </w:rPr>
        <w:t xml:space="preserve">ased </w:t>
      </w:r>
      <w:r>
        <w:rPr>
          <w:rStyle w:val="Heading2Char"/>
        </w:rPr>
        <w:t>I</w:t>
      </w:r>
      <w:r w:rsidRPr="00CF624C">
        <w:rPr>
          <w:rStyle w:val="Heading2Char"/>
        </w:rPr>
        <w:t>nventory for Vermont</w:t>
      </w:r>
      <w:bookmarkEnd w:id="26"/>
    </w:p>
    <w:p w14:paraId="7699985D" w14:textId="7BA31276" w:rsidR="0080415D" w:rsidRDefault="0080415D" w:rsidP="0080415D">
      <w:r>
        <w:t>Vermont may find value in developing a consumption-based inventory and could look to Oregon and Minnesota for guidance</w:t>
      </w:r>
      <w:r w:rsidR="00716BA0">
        <w:t xml:space="preserve"> and potential collaboration in future efforts to refine the methods</w:t>
      </w:r>
      <w:r>
        <w:t xml:space="preserve">. The value, for example, could be developing a fuller understanding of a state’s impact on climate change and a more complete view of emissions attributable to a state. This could serve as a valuable resource for education, both for decision-makers in the state and for all Vermonters. For decision-makers, it could also be in help informing mitigation strategies for Vermont and identifying the best opportunities for the state to reduce emissions. For all residents, this could be an opportunity in better understanding how the choices of individual </w:t>
      </w:r>
      <w:proofErr w:type="gramStart"/>
      <w:r>
        <w:t>Vermonters</w:t>
      </w:r>
      <w:proofErr w:type="gramEnd"/>
      <w:r>
        <w:t xml:space="preserve"> impact global climate change. Like Oregon and Minnesota, Vermont could consider using a consumption-based inventory to supplement the existing sector-based inventory.</w:t>
      </w:r>
      <w:r>
        <w:br/>
      </w:r>
      <w:r>
        <w:br/>
        <w:t>It is also important to note that Oregon and Minnesota are not using a consumption-based inventory as a replacement for a sector-based inventory, but rather as a complement. Both states highlight the value of a consumption-based inventory in supplementing an understanding of a state’s emissions and as a tool for identifying mitigation strategies that would cut a state’s emissions.</w:t>
      </w:r>
    </w:p>
    <w:p w14:paraId="7C85841D" w14:textId="3E97D722" w:rsidR="00D27AD4" w:rsidRPr="002D1F64" w:rsidRDefault="0080415D" w:rsidP="00D27AD4">
      <w:r>
        <w:t xml:space="preserve">Appendix B of the </w:t>
      </w:r>
      <w:r w:rsidRPr="00C508FF">
        <w:rPr>
          <w:i/>
        </w:rPr>
        <w:t>Oregon’s Greenhouse Gas Emissions through 2015</w:t>
      </w:r>
      <w:r>
        <w:t xml:space="preserve"> report details the methodology of the consumption-based inventory, which utilizes a complex Excel model to derive</w:t>
      </w:r>
      <w:r w:rsidRPr="004F7393">
        <w:t xml:space="preserve"> consumption-based emissions </w:t>
      </w:r>
      <w:r>
        <w:t xml:space="preserve">estimates. There </w:t>
      </w:r>
      <w:r w:rsidR="008418D0">
        <w:t>are</w:t>
      </w:r>
      <w:r>
        <w:t xml:space="preserve"> numerous boundary and accounting considerations </w:t>
      </w:r>
      <w:r w:rsidR="008418D0">
        <w:t>and assumptions to consider when</w:t>
      </w:r>
      <w:r>
        <w:t xml:space="preserve"> adopting a consumption-based inventory. </w:t>
      </w:r>
      <w:r w:rsidR="001D27DA">
        <w:t>While theoretically appealing there is a great deal of</w:t>
      </w:r>
      <w:r>
        <w:t xml:space="preserve"> complexity</w:t>
      </w:r>
      <w:r w:rsidR="001D27DA">
        <w:t xml:space="preserve"> in</w:t>
      </w:r>
      <w:r>
        <w:t xml:space="preserve"> assigning emissions to all goods and services consumed within the state boundaries</w:t>
      </w:r>
      <w:r w:rsidR="001D27DA">
        <w:t>.  For example, many products today have diverse and global supply chains.  Accounting for the raw materials and intermediate components for each item can become a very deep and multi-layered problem.</w:t>
      </w:r>
      <w:r>
        <w:t xml:space="preserve"> when considering whether to adopt this methodology.</w:t>
      </w:r>
    </w:p>
    <w:p w14:paraId="16EF0B6B" w14:textId="0D1BE63C" w:rsidR="007E0763" w:rsidRDefault="007E0763" w:rsidP="00AC4C0E">
      <w:pPr>
        <w:pStyle w:val="Heading1"/>
      </w:pPr>
      <w:bookmarkStart w:id="27" w:name="_Toc78869952"/>
      <w:r>
        <w:lastRenderedPageBreak/>
        <w:t>Issues and Opportunities</w:t>
      </w:r>
      <w:bookmarkEnd w:id="27"/>
    </w:p>
    <w:p w14:paraId="24DFE963" w14:textId="525E05DA" w:rsidR="00CE2CBC" w:rsidRDefault="003C0FB1" w:rsidP="003C0FB1">
      <w:r>
        <w:t xml:space="preserve">A GHG Inventory is one </w:t>
      </w:r>
      <w:r w:rsidR="00465C2E">
        <w:t xml:space="preserve">of many </w:t>
      </w:r>
      <w:r w:rsidR="00CE2CBC">
        <w:t>“</w:t>
      </w:r>
      <w:r w:rsidR="006A7B50">
        <w:t>tool</w:t>
      </w:r>
      <w:r w:rsidR="00465C2E">
        <w:t>s</w:t>
      </w:r>
      <w:r w:rsidR="00CE2CBC">
        <w:t>”</w:t>
      </w:r>
      <w:r w:rsidR="00A0308D">
        <w:t xml:space="preserve"> that planners, policy makers, and public and private decision makers </w:t>
      </w:r>
      <w:r w:rsidR="00CE2CBC">
        <w:t>need</w:t>
      </w:r>
      <w:r w:rsidR="00A0308D">
        <w:t xml:space="preserve"> to help understand and address the daunting climate imperative.  Evidence from around the globe and across </w:t>
      </w:r>
      <w:r w:rsidR="00107DB7">
        <w:t>a broad</w:t>
      </w:r>
      <w:r w:rsidR="00A0308D">
        <w:t xml:space="preserve"> range of geophysical, human health, economic</w:t>
      </w:r>
      <w:r w:rsidR="00107DB7">
        <w:t>, and ecosystem indicators illustrate the importance of immediate, sustained, deep and broad action</w:t>
      </w:r>
      <w:r w:rsidR="00F11646">
        <w:t>.  Inventories inform, but don’t create action</w:t>
      </w:r>
      <w:r w:rsidR="008D53B1">
        <w:t>s, policies,</w:t>
      </w:r>
      <w:r w:rsidR="00F11646">
        <w:t xml:space="preserve"> or mitigation strategies.  </w:t>
      </w:r>
    </w:p>
    <w:p w14:paraId="38D19F58" w14:textId="51D5F2F6" w:rsidR="00F1149C" w:rsidRDefault="00421A1F">
      <w:r>
        <w:t>T</w:t>
      </w:r>
      <w:r w:rsidR="005377F5">
        <w:t>he variety of methods and approaches to GHG Inventories can be thought of as different types of saw</w:t>
      </w:r>
      <w:r w:rsidR="00583E43">
        <w:t>s</w:t>
      </w:r>
      <w:r w:rsidR="005377F5">
        <w:t xml:space="preserve"> (keyhole or hacksaw) or screwdriver</w:t>
      </w:r>
      <w:r w:rsidR="00583E43">
        <w:t>s</w:t>
      </w:r>
      <w:r w:rsidR="005377F5">
        <w:t xml:space="preserve"> (straight bladed or angled Phillips</w:t>
      </w:r>
      <w:r w:rsidR="00111C1F">
        <w:t>-</w:t>
      </w:r>
      <w:r w:rsidR="005377F5">
        <w:t xml:space="preserve">head) that might be more used or useful for a particular task and purpose.  </w:t>
      </w:r>
    </w:p>
    <w:p w14:paraId="07DA58AA" w14:textId="6E0D9F41" w:rsidR="0040571F" w:rsidRDefault="0040571F" w:rsidP="008156C0">
      <w:r>
        <w:t xml:space="preserve">This section discusses issues </w:t>
      </w:r>
      <w:r w:rsidR="002F6FCF">
        <w:t>and opportunities for improvements to Vermont’s Inventory.  We structure this discussion around a set of comments provided in an open letter to the Vermont Climate Council</w:t>
      </w:r>
      <w:r w:rsidR="0019422B">
        <w:t xml:space="preserve"> (OLVCC)</w:t>
      </w:r>
      <w:r w:rsidR="002F6FCF">
        <w:t>, as these are broadly speaking representative of other feedback and comments that have been considered and discussed in public meetings convened by the Data and Science Subcommittee of the Climate Council</w:t>
      </w:r>
      <w:r w:rsidR="00113D5F">
        <w:t xml:space="preserve">, and of </w:t>
      </w:r>
      <w:r w:rsidR="005C639F">
        <w:t>issues considered by the ANR</w:t>
      </w:r>
      <w:r w:rsidR="00246392">
        <w:t xml:space="preserve">, the DPS, advocates and other concerned parties in Vermont and elsewhere. </w:t>
      </w:r>
    </w:p>
    <w:p w14:paraId="6F20F927" w14:textId="16A613F9" w:rsidR="00A70E43" w:rsidRDefault="00FF4BCB" w:rsidP="00A70E43">
      <w:pPr>
        <w:pStyle w:val="Heading2"/>
      </w:pPr>
      <w:bookmarkStart w:id="28" w:name="_Toc78869953"/>
      <w:r>
        <w:t>Issues with Vermont Inventory</w:t>
      </w:r>
      <w:bookmarkEnd w:id="28"/>
    </w:p>
    <w:p w14:paraId="454C6CB9" w14:textId="1BA37667" w:rsidR="00FF4BCB" w:rsidRDefault="006A7A80" w:rsidP="00FF4BCB">
      <w:r>
        <w:t xml:space="preserve">Seven main issues are identified in the </w:t>
      </w:r>
      <w:r w:rsidR="0019422B">
        <w:t>OL</w:t>
      </w:r>
      <w:r w:rsidR="005D0A32">
        <w:t>VCC</w:t>
      </w:r>
      <w:r>
        <w:t xml:space="preserve">.  </w:t>
      </w:r>
    </w:p>
    <w:p w14:paraId="6D039BC5" w14:textId="77777777" w:rsidR="006A7A80" w:rsidRDefault="006A7A80" w:rsidP="008156C0">
      <w:pPr>
        <w:pStyle w:val="Heading3"/>
      </w:pPr>
      <w:bookmarkStart w:id="29" w:name="_Toc78869954"/>
      <w:r>
        <w:t>Adopt a Comprehensive Carbon Footprint Accounting</w:t>
      </w:r>
      <w:bookmarkEnd w:id="29"/>
    </w:p>
    <w:p w14:paraId="3DEA5991" w14:textId="2F4B1266" w:rsidR="005D0A32" w:rsidRDefault="003431E9" w:rsidP="003431E9">
      <w:r>
        <w:t xml:space="preserve">As discussed above, Vermont’s current sector-based methods account primarily for emissions from in-state activity.  </w:t>
      </w:r>
      <w:r w:rsidR="0019422B">
        <w:t>The electricity sector is an important exception, where a consumption</w:t>
      </w:r>
      <w:r w:rsidR="00D47EED">
        <w:t>-</w:t>
      </w:r>
      <w:r w:rsidR="0019422B">
        <w:t xml:space="preserve"> based approach is applied, so the emissions from electricity generation from out of state that is imported to Vermont are counted.  </w:t>
      </w:r>
    </w:p>
    <w:p w14:paraId="21F0B6BF" w14:textId="77777777" w:rsidR="005442B1" w:rsidRDefault="0019422B" w:rsidP="003431E9">
      <w:r>
        <w:t xml:space="preserve">The </w:t>
      </w:r>
      <w:r w:rsidR="005D0A32">
        <w:t xml:space="preserve">OLVCC </w:t>
      </w:r>
      <w:r w:rsidR="002777E7">
        <w:t>c</w:t>
      </w:r>
      <w:r w:rsidR="006A7A80">
        <w:t xml:space="preserve">ites life-cycle accounting language in the GWSA statute, </w:t>
      </w:r>
      <w:r w:rsidR="002777E7">
        <w:t xml:space="preserve">and </w:t>
      </w:r>
      <w:r w:rsidR="006A7A80">
        <w:t xml:space="preserve">advocates for </w:t>
      </w:r>
      <w:r w:rsidR="002777E7">
        <w:t>a CBEI</w:t>
      </w:r>
      <w:r w:rsidR="006A7A80">
        <w:t xml:space="preserve"> and upstream </w:t>
      </w:r>
      <w:r w:rsidR="002777E7">
        <w:t xml:space="preserve">emissions </w:t>
      </w:r>
      <w:r w:rsidR="006A7A80">
        <w:t xml:space="preserve">accounting as </w:t>
      </w:r>
      <w:r w:rsidR="002777E7">
        <w:t xml:space="preserve">required </w:t>
      </w:r>
      <w:r w:rsidR="00CB217C">
        <w:t xml:space="preserve">and to </w:t>
      </w:r>
      <w:r w:rsidR="005442B1">
        <w:t xml:space="preserve">run in parallel as complements to the current accounting system.  </w:t>
      </w:r>
    </w:p>
    <w:p w14:paraId="008873CD" w14:textId="77777777" w:rsidR="006A20FA" w:rsidRDefault="009436C7" w:rsidP="003431E9">
      <w:r>
        <w:t xml:space="preserve">The experience from Oregon and Minnesota with CBEI methods and models discussed above provide </w:t>
      </w:r>
      <w:r w:rsidR="001F3EA3">
        <w:t xml:space="preserve">tangible examples of how states </w:t>
      </w:r>
      <w:r w:rsidR="000E23ED">
        <w:t xml:space="preserve">can include CBEI to complement a sector-based inventory.  </w:t>
      </w:r>
      <w:r>
        <w:t xml:space="preserve"> </w:t>
      </w:r>
    </w:p>
    <w:p w14:paraId="66066A6F" w14:textId="77777777" w:rsidR="00291AE4" w:rsidRDefault="00201E90" w:rsidP="003431E9">
      <w:r>
        <w:t xml:space="preserve">Complementary CBEI emission results can inform </w:t>
      </w:r>
      <w:r w:rsidR="00CA1F47">
        <w:t xml:space="preserve">policy, planning and consumer decision making, </w:t>
      </w:r>
      <w:r w:rsidR="007B268F">
        <w:t xml:space="preserve">and accounting for upstream emissions can inform analyses of mitigation strategies, scenarios, and actions.  </w:t>
      </w:r>
    </w:p>
    <w:p w14:paraId="1505B717" w14:textId="4728F669" w:rsidR="00315C87" w:rsidRDefault="00C2457F" w:rsidP="003431E9">
      <w:r>
        <w:lastRenderedPageBreak/>
        <w:t xml:space="preserve">The </w:t>
      </w:r>
      <w:r w:rsidR="00291AE4">
        <w:t xml:space="preserve">OLVCC provides </w:t>
      </w:r>
      <w:r>
        <w:t xml:space="preserve">upstream emissions estimates </w:t>
      </w:r>
      <w:r w:rsidR="00291AE4">
        <w:t xml:space="preserve">based on the use of </w:t>
      </w:r>
      <w:r w:rsidR="00651F01">
        <w:t xml:space="preserve">life-cycle analysis models </w:t>
      </w:r>
      <w:r w:rsidR="00C951B1">
        <w:t xml:space="preserve">including the Greenhouse gases, </w:t>
      </w:r>
      <w:r w:rsidR="00452668">
        <w:t xml:space="preserve">Regulated Emissions, and Energy </w:t>
      </w:r>
      <w:r w:rsidR="003800F2">
        <w:t xml:space="preserve">use in Technologies </w:t>
      </w:r>
      <w:r w:rsidR="00B96442">
        <w:t xml:space="preserve">Model (GREET) developed by the Argonne National Laboratory.  </w:t>
      </w:r>
      <w:r w:rsidR="00D16D7A">
        <w:t xml:space="preserve">These types of upstream emissions estimates can be used in the analysis of mitigation options.  </w:t>
      </w:r>
    </w:p>
    <w:p w14:paraId="1B6D11E4" w14:textId="77777777" w:rsidR="008B0D4D" w:rsidRDefault="0066419A" w:rsidP="003431E9">
      <w:r>
        <w:t>However, t</w:t>
      </w:r>
      <w:r w:rsidR="00463F25">
        <w:t xml:space="preserve">he complexity of truly addressing a </w:t>
      </w:r>
      <w:r w:rsidR="00694A5B">
        <w:t>comprehensive carbon accounting footprint is immense, and there are not methods and tools, including those recommended or discussed above</w:t>
      </w:r>
      <w:r w:rsidR="00573F49">
        <w:t>,</w:t>
      </w:r>
      <w:r w:rsidR="00694A5B">
        <w:t xml:space="preserve"> that can fully account for this complexity.  Many modern products and services have inputs and raw materials that draw from multiple sources, and fully accounting for the emissions with the lifecycle production of just one such product</w:t>
      </w:r>
      <w:r w:rsidR="002738BC">
        <w:t xml:space="preserve"> requires </w:t>
      </w:r>
      <w:r w:rsidR="0083671D">
        <w:t xml:space="preserve">a huge effort.  </w:t>
      </w:r>
      <w:r w:rsidR="00E428E8">
        <w:t>Conducting</w:t>
      </w:r>
      <w:r w:rsidR="0083671D">
        <w:t xml:space="preserve"> </w:t>
      </w:r>
      <w:r w:rsidR="00E428E8">
        <w:t xml:space="preserve">such </w:t>
      </w:r>
      <w:r w:rsidR="00237EF5">
        <w:t>detailed</w:t>
      </w:r>
      <w:r w:rsidR="0083671D">
        <w:t xml:space="preserve"> analys</w:t>
      </w:r>
      <w:r w:rsidR="00237EF5">
        <w:t>e</w:t>
      </w:r>
      <w:r w:rsidR="0083671D">
        <w:t xml:space="preserve">s for an entire state’s economy </w:t>
      </w:r>
      <w:r w:rsidR="00E428E8">
        <w:t xml:space="preserve">is </w:t>
      </w:r>
      <w:r w:rsidR="00D46D26">
        <w:t>not realistic</w:t>
      </w:r>
      <w:r w:rsidR="00580124">
        <w:t xml:space="preserve"> without significant levels of abstraction.  </w:t>
      </w:r>
      <w:r w:rsidR="00E51EE2">
        <w:t xml:space="preserve">Adopting these approaches needs to be guided by consideration of available </w:t>
      </w:r>
      <w:r w:rsidR="00237EF5">
        <w:t xml:space="preserve">time and </w:t>
      </w:r>
      <w:r w:rsidR="00E51EE2">
        <w:t xml:space="preserve">resources and </w:t>
      </w:r>
      <w:r>
        <w:t xml:space="preserve">by consideration of the incremental value </w:t>
      </w:r>
      <w:r w:rsidR="00237EF5">
        <w:t xml:space="preserve">gained to inform decision making.  </w:t>
      </w:r>
    </w:p>
    <w:p w14:paraId="245E18A1" w14:textId="5E34C654" w:rsidR="00694A5B" w:rsidRDefault="008B0D4D" w:rsidP="003431E9">
      <w:r>
        <w:t xml:space="preserve">In the end, </w:t>
      </w:r>
      <w:r w:rsidR="003E3B78">
        <w:t>i</w:t>
      </w:r>
      <w:r>
        <w:t>nventory methods and approaches are tools meant to inform and enable climate action policy, strategies</w:t>
      </w:r>
      <w:r w:rsidR="00E77952">
        <w:t>, implementation</w:t>
      </w:r>
      <w:r w:rsidR="003E3B78">
        <w:t>,</w:t>
      </w:r>
      <w:r w:rsidR="00E77952">
        <w:t xml:space="preserve"> and actions.</w:t>
      </w:r>
      <w:r w:rsidR="003E3B78">
        <w:t xml:space="preserve">  </w:t>
      </w:r>
      <w:r w:rsidR="00E77952">
        <w:t xml:space="preserve">  </w:t>
      </w:r>
      <w:r w:rsidR="00694A5B">
        <w:t xml:space="preserve"> </w:t>
      </w:r>
    </w:p>
    <w:p w14:paraId="2ECC84D5" w14:textId="77777777" w:rsidR="006A7A80" w:rsidRDefault="006A7A80" w:rsidP="007C166C">
      <w:pPr>
        <w:pStyle w:val="Heading3"/>
      </w:pPr>
      <w:bookmarkStart w:id="30" w:name="_Toc78869955"/>
      <w:r>
        <w:t>Modify Global Warming Potential for Methane</w:t>
      </w:r>
      <w:bookmarkEnd w:id="30"/>
    </w:p>
    <w:p w14:paraId="62EF7308" w14:textId="77777777" w:rsidR="00B429B7" w:rsidRDefault="0093674C" w:rsidP="00280A7E">
      <w:r>
        <w:t>The OLVCC recommends assessing</w:t>
      </w:r>
      <w:r w:rsidR="006A7A80">
        <w:t xml:space="preserve"> the GWP for </w:t>
      </w:r>
      <w:r w:rsidR="00497221">
        <w:t>m</w:t>
      </w:r>
      <w:r w:rsidR="006A7A80">
        <w:t xml:space="preserve">ethane based on a 20-year lifetime to account for the higher near-term impacts of gas. </w:t>
      </w:r>
      <w:r w:rsidR="00140579">
        <w:t xml:space="preserve">As discussed </w:t>
      </w:r>
      <w:r w:rsidR="004011D2">
        <w:t xml:space="preserve">above in the Comparison and Examples from Leading States section, New York and California </w:t>
      </w:r>
      <w:r w:rsidR="00D80F87">
        <w:t>have both taken steps to identify and address the more serious short</w:t>
      </w:r>
      <w:r w:rsidR="00F54504">
        <w:t>-</w:t>
      </w:r>
      <w:r w:rsidR="00D80F87">
        <w:t>term GWP for methane</w:t>
      </w:r>
      <w:r w:rsidR="00F54504">
        <w:t xml:space="preserve">.  </w:t>
      </w:r>
      <w:r w:rsidR="00DF070D">
        <w:t xml:space="preserve">New York provides an estimate of </w:t>
      </w:r>
      <w:r w:rsidR="009145D7">
        <w:t xml:space="preserve">a 20-year GWP for methane in their Summary Inventory report, and California has developed an entire strategy to identify and address opportunities and issues with short lived climate pollutants, including methane.  Both efforts can inform mitigation planning, </w:t>
      </w:r>
      <w:r w:rsidR="00020E65">
        <w:t>investment</w:t>
      </w:r>
      <w:r w:rsidR="00F15DBD">
        <w:t>,</w:t>
      </w:r>
      <w:r w:rsidR="00020E65">
        <w:t xml:space="preserve"> and actions, and may focus mitigation strategies on key categories responsible for high levels of CH</w:t>
      </w:r>
      <w:r w:rsidR="00F15DBD" w:rsidRPr="007C166C">
        <w:rPr>
          <w:vertAlign w:val="subscript"/>
        </w:rPr>
        <w:t>4</w:t>
      </w:r>
      <w:r w:rsidR="00F15DBD">
        <w:t xml:space="preserve"> emissions. </w:t>
      </w:r>
      <w:r w:rsidR="00F54504">
        <w:t xml:space="preserve">At the same time, </w:t>
      </w:r>
      <w:r w:rsidR="00780C9D">
        <w:t>New York and California</w:t>
      </w:r>
      <w:r w:rsidR="00F54504">
        <w:t xml:space="preserve"> continue to use the 100</w:t>
      </w:r>
      <w:r w:rsidR="00DF070D">
        <w:t>-</w:t>
      </w:r>
      <w:r w:rsidR="00F54504">
        <w:t xml:space="preserve">year GWP </w:t>
      </w:r>
      <w:r w:rsidR="00DF070D">
        <w:t>for CH</w:t>
      </w:r>
      <w:r w:rsidR="00DF070D" w:rsidRPr="007C166C">
        <w:rPr>
          <w:vertAlign w:val="subscript"/>
        </w:rPr>
        <w:t>4</w:t>
      </w:r>
      <w:r w:rsidR="00DF070D">
        <w:t xml:space="preserve"> based on guidance from the IPCC AR-4 report in official inventory reporting.  </w:t>
      </w:r>
    </w:p>
    <w:p w14:paraId="52FB406D" w14:textId="0CEC5E6F" w:rsidR="006A7A80" w:rsidRDefault="006A7A80" w:rsidP="007C166C">
      <w:pPr>
        <w:pStyle w:val="Heading3"/>
      </w:pPr>
      <w:bookmarkStart w:id="31" w:name="_Toc78869956"/>
      <w:r>
        <w:t>Account for the Upstream Emissions of Purchased Fossil Fuels</w:t>
      </w:r>
      <w:bookmarkEnd w:id="31"/>
    </w:p>
    <w:p w14:paraId="684C6559" w14:textId="0292C57B" w:rsidR="007655FD" w:rsidRDefault="00B429B7" w:rsidP="00B429B7">
      <w:r>
        <w:t>The OLVCC also recommends a</w:t>
      </w:r>
      <w:r w:rsidR="006A7A80">
        <w:t>ssign</w:t>
      </w:r>
      <w:r>
        <w:t>ing</w:t>
      </w:r>
      <w:r w:rsidR="006A7A80">
        <w:t xml:space="preserve"> and account</w:t>
      </w:r>
      <w:r>
        <w:t>ing</w:t>
      </w:r>
      <w:r w:rsidR="006A7A80">
        <w:t xml:space="preserve"> for upstream emissions with the production, processing, and transportation of purchased fossil fuels.</w:t>
      </w:r>
      <w:r>
        <w:t xml:space="preserve">  Vermont imports fossil fuels.  Following sector-based accounting protocols, these upstream emissions are accounted for in producing states.  For example</w:t>
      </w:r>
      <w:r w:rsidR="007018CF">
        <w:t>,</w:t>
      </w:r>
      <w:r>
        <w:t xml:space="preserve"> emissions from gas production, processing and transport would be counted under fossil fuel production categories in Pennsylvania, Louisiana, and other states through which </w:t>
      </w:r>
      <w:r w:rsidR="007018CF">
        <w:t xml:space="preserve">pipelines pass.  If </w:t>
      </w:r>
      <w:r w:rsidR="005A6D81">
        <w:t>such upstream emissions were counted in Vermont’s inventory, and they continued to be counted in the sector</w:t>
      </w:r>
      <w:r w:rsidR="007655FD">
        <w:t>-</w:t>
      </w:r>
      <w:r w:rsidR="005A6D81">
        <w:t xml:space="preserve">based inventory of other states, double counting occur.  </w:t>
      </w:r>
    </w:p>
    <w:p w14:paraId="234F276C" w14:textId="77777777" w:rsidR="00A40E65" w:rsidRDefault="00BB6D88" w:rsidP="00630B28">
      <w:r>
        <w:lastRenderedPageBreak/>
        <w:t xml:space="preserve">The guidelines for </w:t>
      </w:r>
      <w:r w:rsidR="002731E1">
        <w:t>inventory reporting developed by the IPCC and EPA through extensive peer-reviewed design, comment</w:t>
      </w:r>
      <w:r w:rsidR="009A7918">
        <w:t>s,</w:t>
      </w:r>
      <w:r w:rsidR="002731E1">
        <w:t xml:space="preserve"> and </w:t>
      </w:r>
      <w:r w:rsidR="00A93A24">
        <w:t>re</w:t>
      </w:r>
      <w:r w:rsidR="000F3780">
        <w:t>finements, aim to produce results that are comprehensive, that do not under or over count emissions, and that provide a replicable, transparent</w:t>
      </w:r>
      <w:r w:rsidR="004D6B17">
        <w:t>,</w:t>
      </w:r>
      <w:r w:rsidR="000F3780">
        <w:t xml:space="preserve"> and consistent results across jurisdictions. </w:t>
      </w:r>
      <w:r w:rsidR="004E1B47">
        <w:t xml:space="preserve">These guidelines generally inform Vermont’s inventory and the inventories for the other states reviewed by our team. </w:t>
      </w:r>
      <w:r w:rsidR="000F3780">
        <w:t xml:space="preserve"> It is also understood that complementary and supplemental methods can and should be used to analyze mitigation strategies and to communicate inventory results to decision makers.  </w:t>
      </w:r>
      <w:r w:rsidR="00154AE1">
        <w:t xml:space="preserve">Complementary analyses </w:t>
      </w:r>
      <w:r w:rsidR="007C3324">
        <w:t xml:space="preserve">of mitigation strategies </w:t>
      </w:r>
      <w:r w:rsidR="00154AE1">
        <w:t xml:space="preserve">using the upstream emissions factors for fossil fuels provided in the OLVCC can be </w:t>
      </w:r>
      <w:r w:rsidR="007C3324">
        <w:t>used to help Vermont design and implement actions that result in the greatest reductions in emissions – whether the</w:t>
      </w:r>
      <w:r w:rsidR="00840841">
        <w:t>se emissions</w:t>
      </w:r>
      <w:r w:rsidR="007C3324">
        <w:t xml:space="preserve"> are counted in Vermont’s inventory, or elsewhere.  </w:t>
      </w:r>
    </w:p>
    <w:p w14:paraId="314215D3" w14:textId="414F8932" w:rsidR="006A7A80" w:rsidRDefault="006A7A80" w:rsidP="007C166C">
      <w:pPr>
        <w:pStyle w:val="Heading3"/>
      </w:pPr>
      <w:bookmarkStart w:id="32" w:name="_Toc78869957"/>
      <w:r>
        <w:t>Modify Accounting for Emissions from Regional Electric Grid</w:t>
      </w:r>
      <w:bookmarkEnd w:id="32"/>
    </w:p>
    <w:p w14:paraId="4F4C03E9" w14:textId="29B8B750" w:rsidR="006A7A80" w:rsidRDefault="00B24BCD" w:rsidP="00525CF5">
      <w:r>
        <w:t>The OLVCC r</w:t>
      </w:r>
      <w:r w:rsidR="006A7A80">
        <w:t>ecommend</w:t>
      </w:r>
      <w:r>
        <w:t>s</w:t>
      </w:r>
      <w:r w:rsidR="006A7A80">
        <w:t xml:space="preserve"> emissions from the regional grid be adjusted upwards to reflect associated upstream gas emissions and transmission system losses</w:t>
      </w:r>
      <w:r w:rsidR="004975D4">
        <w:t xml:space="preserve">.  It also recommends </w:t>
      </w:r>
      <w:r w:rsidR="005950A8">
        <w:t xml:space="preserve">emissions </w:t>
      </w:r>
      <w:r w:rsidR="00CC441F">
        <w:t xml:space="preserve">be calculated based on monthly </w:t>
      </w:r>
      <w:r w:rsidR="00451DC5">
        <w:t xml:space="preserve">generating mixes and emissions estimates not be adjusted for Renewable Energy Credits (RECs).  </w:t>
      </w:r>
    </w:p>
    <w:p w14:paraId="4BE1C91B" w14:textId="77777777" w:rsidR="007E73E7" w:rsidRDefault="0055347F" w:rsidP="00395330">
      <w:r>
        <w:t>Accurate accoun</w:t>
      </w:r>
      <w:r w:rsidR="00CE3892">
        <w:t xml:space="preserve">ting for emissions from the electric grid </w:t>
      </w:r>
      <w:r w:rsidR="009E2201">
        <w:t>is</w:t>
      </w:r>
      <w:r w:rsidR="00CE3892">
        <w:t xml:space="preserve"> vitally important, as most mitigation scenarios and strategies in Vermont and </w:t>
      </w:r>
      <w:r w:rsidR="00FB3A69">
        <w:t xml:space="preserve">across the United States rely heavily on </w:t>
      </w:r>
      <w:r w:rsidR="00B83C3F">
        <w:t>strategic electrification in the transportation and building sectors and on a decarbonized grid.</w:t>
      </w:r>
      <w:r w:rsidR="00466FE3">
        <w:t xml:space="preserve">  </w:t>
      </w:r>
      <w:r w:rsidR="00FC386E">
        <w:t>The interstate</w:t>
      </w:r>
      <w:r w:rsidR="0062003F">
        <w:t xml:space="preserve">, international, and regional exchange of electricity and RECs makes </w:t>
      </w:r>
      <w:r w:rsidR="002C63D3">
        <w:t xml:space="preserve">emissions accounting complicated.  </w:t>
      </w:r>
      <w:r w:rsidR="005F268D">
        <w:t>Vermont’s inventory accounts for</w:t>
      </w:r>
      <w:r w:rsidR="00506767">
        <w:t xml:space="preserve"> electricity imports, exports</w:t>
      </w:r>
      <w:r w:rsidR="00FD12BD">
        <w:t>,</w:t>
      </w:r>
      <w:r w:rsidR="00506767">
        <w:t xml:space="preserve"> and REC a</w:t>
      </w:r>
      <w:r w:rsidR="00FD12BD">
        <w:t xml:space="preserve">djustments.  </w:t>
      </w:r>
      <w:r w:rsidR="00733158">
        <w:t>Vermont is also considering use of the spreadsheet model, developed</w:t>
      </w:r>
      <w:r w:rsidR="00173756">
        <w:t>,</w:t>
      </w:r>
      <w:r w:rsidR="00733158">
        <w:t xml:space="preserve"> and maintained by the Massachusetts Department of Environmental Conservation that includes a more comprehensive </w:t>
      </w:r>
      <w:r w:rsidR="00452AD8">
        <w:t xml:space="preserve">accounting by state for the settlement of </w:t>
      </w:r>
      <w:r w:rsidR="002D00C9">
        <w:t xml:space="preserve">RECs regionally. </w:t>
      </w:r>
    </w:p>
    <w:p w14:paraId="3331764B" w14:textId="2D0A09F7" w:rsidR="006A7A80" w:rsidRDefault="006A7A80" w:rsidP="007C166C">
      <w:pPr>
        <w:pStyle w:val="Heading3"/>
      </w:pPr>
      <w:bookmarkStart w:id="33" w:name="_Toc78869958"/>
      <w:r>
        <w:t>Land Use Carbon Footprint Accounting</w:t>
      </w:r>
      <w:bookmarkEnd w:id="33"/>
    </w:p>
    <w:p w14:paraId="778E9A45" w14:textId="579F1145" w:rsidR="003460EB" w:rsidRDefault="007E73E7" w:rsidP="001824CA">
      <w:r>
        <w:t xml:space="preserve">The OLVCC recommends separate </w:t>
      </w:r>
      <w:r w:rsidR="00A4223F">
        <w:t>land use carbon footprint accounting and recommends the State</w:t>
      </w:r>
      <w:r w:rsidR="006A7A80">
        <w:t xml:space="preserve"> not permit land use carbon offsets to offset energy related GHG emissions.</w:t>
      </w:r>
      <w:r w:rsidR="002F6209">
        <w:t xml:space="preserve">  The work undertaken by the technical consultant team under the Task 2 Carbon Budget</w:t>
      </w:r>
      <w:r w:rsidR="00E456E5">
        <w:t xml:space="preserve"> </w:t>
      </w:r>
      <w:r w:rsidR="00D65E41">
        <w:t xml:space="preserve">is directly addressing </w:t>
      </w:r>
      <w:r w:rsidR="008B77EF">
        <w:t>the carbon sources and sinks for Vermont land use, and the potential for reduced emissions</w:t>
      </w:r>
      <w:r w:rsidR="00296407">
        <w:t>,</w:t>
      </w:r>
      <w:r w:rsidR="008B77EF">
        <w:t xml:space="preserve"> and </w:t>
      </w:r>
      <w:r w:rsidR="00B30CA8">
        <w:t>increased sequestration</w:t>
      </w:r>
      <w:r w:rsidR="00841F8B">
        <w:t xml:space="preserve">. </w:t>
      </w:r>
      <w:r w:rsidR="00B30CA8">
        <w:t xml:space="preserve"> </w:t>
      </w:r>
      <w:r w:rsidR="00375B57">
        <w:t xml:space="preserve">California’s NWL Inventory, discussed above is an example of </w:t>
      </w:r>
      <w:r w:rsidR="000E4D1E">
        <w:t>an</w:t>
      </w:r>
      <w:r w:rsidR="000D2978">
        <w:t xml:space="preserve"> inventory that will also be used in this fashion.  </w:t>
      </w:r>
      <w:r w:rsidR="00EA7693">
        <w:t xml:space="preserve">Carbon offsets, of any type, need to meet a range of criteria including </w:t>
      </w:r>
      <w:r w:rsidR="00B77701">
        <w:t xml:space="preserve">additionality, </w:t>
      </w:r>
      <w:r w:rsidR="000F4D4A">
        <w:t xml:space="preserve">duration, </w:t>
      </w:r>
      <w:r w:rsidR="001243C1">
        <w:t xml:space="preserve">transparency, </w:t>
      </w:r>
      <w:r w:rsidR="002220BC">
        <w:t xml:space="preserve">and </w:t>
      </w:r>
      <w:r w:rsidR="00F86CA0">
        <w:t xml:space="preserve">the </w:t>
      </w:r>
      <w:r w:rsidR="007F2556">
        <w:t>avoidance o</w:t>
      </w:r>
      <w:r w:rsidR="00FD2F64">
        <w:t xml:space="preserve">r delay </w:t>
      </w:r>
      <w:r w:rsidR="007F2556">
        <w:t xml:space="preserve">of </w:t>
      </w:r>
      <w:r w:rsidR="007F45D9">
        <w:t>direct actions</w:t>
      </w:r>
      <w:r w:rsidR="00F86CA0">
        <w:t xml:space="preserve">.  </w:t>
      </w:r>
    </w:p>
    <w:p w14:paraId="4584864B" w14:textId="77777777" w:rsidR="006A7A80" w:rsidRDefault="006A7A80" w:rsidP="007C166C">
      <w:pPr>
        <w:pStyle w:val="Heading3"/>
      </w:pPr>
      <w:bookmarkStart w:id="34" w:name="_Toc78869959"/>
      <w:r>
        <w:lastRenderedPageBreak/>
        <w:t>Account for Upstream Biofuel Impacts</w:t>
      </w:r>
      <w:bookmarkEnd w:id="34"/>
    </w:p>
    <w:p w14:paraId="0820D19A" w14:textId="6EE118D3" w:rsidR="006A7A80" w:rsidRDefault="00275700" w:rsidP="007C166C">
      <w:r>
        <w:t xml:space="preserve">Biofuels, like fossil fuels, </w:t>
      </w:r>
      <w:r w:rsidR="003B1809">
        <w:t xml:space="preserve">have upstream impacts, and </w:t>
      </w:r>
      <w:r w:rsidR="005B7208">
        <w:t>th</w:t>
      </w:r>
      <w:r w:rsidR="00E349C5">
        <w:t>at are not captured by the current Vermont sector-based inventory approach.  Biogenic CO</w:t>
      </w:r>
      <w:r w:rsidR="00E349C5" w:rsidRPr="007C166C">
        <w:rPr>
          <w:vertAlign w:val="subscript"/>
        </w:rPr>
        <w:t>2</w:t>
      </w:r>
      <w:r w:rsidR="00E349C5">
        <w:t xml:space="preserve"> </w:t>
      </w:r>
      <w:r w:rsidR="002848AA">
        <w:t xml:space="preserve">emissions are </w:t>
      </w:r>
      <w:r w:rsidR="00855DA0">
        <w:t xml:space="preserve">not counted in </w:t>
      </w:r>
      <w:r w:rsidR="008D6465">
        <w:t xml:space="preserve">Vermont’s main </w:t>
      </w:r>
      <w:r w:rsidR="00254267">
        <w:t>Inventory</w:t>
      </w:r>
      <w:r w:rsidR="008D6465">
        <w:t>, and this is consistent with the approach of other states and with the EPA and IPCC guidelines</w:t>
      </w:r>
      <w:r w:rsidR="00CA7404">
        <w:t xml:space="preserve">.  Following these guidelines, changes in the carbon stock related to biogenic fuel combustion should be counted in </w:t>
      </w:r>
      <w:r w:rsidR="001F6EDA">
        <w:t xml:space="preserve">land use, land use change and forestry (LULUCF) </w:t>
      </w:r>
      <w:r w:rsidR="008525B1">
        <w:t>a</w:t>
      </w:r>
      <w:r w:rsidR="001C18C8">
        <w:t xml:space="preserve">ccounting.  </w:t>
      </w:r>
      <w:r w:rsidR="005D6B95">
        <w:t xml:space="preserve">As complementary information </w:t>
      </w:r>
      <w:r w:rsidR="00C6472E">
        <w:t xml:space="preserve">Vermont, and other states provide estimated </w:t>
      </w:r>
      <w:r w:rsidR="00407F62">
        <w:t xml:space="preserve">gross </w:t>
      </w:r>
      <w:r w:rsidR="00C6472E">
        <w:t xml:space="preserve">emissions including and excluding biogenic CO2, </w:t>
      </w:r>
      <w:r w:rsidR="00BD1D8D">
        <w:t>estimates of</w:t>
      </w:r>
      <w:r w:rsidR="002A23E5">
        <w:t xml:space="preserve"> sequestration from LULUCF, and the net emissions</w:t>
      </w:r>
      <w:r w:rsidR="00BD1D8D">
        <w:t xml:space="preserve">.  </w:t>
      </w:r>
      <w:r w:rsidR="00B30DAC">
        <w:t>Stakeholders have been working on the development of a Clean Heat Standard for Vermont, and this work has recognized the necessity of considering upstream impacts for biofuels.  Where possible these should include</w:t>
      </w:r>
      <w:r w:rsidR="006A7A80">
        <w:t xml:space="preserve"> potential competing and current land uses (and loss of sequestration) when calculating the emissions impacts of biofuels. </w:t>
      </w:r>
    </w:p>
    <w:p w14:paraId="6E15B910" w14:textId="77777777" w:rsidR="006A7A80" w:rsidRDefault="006A7A80" w:rsidP="007C166C">
      <w:pPr>
        <w:pStyle w:val="Heading3"/>
      </w:pPr>
      <w:bookmarkStart w:id="35" w:name="_Toc78869960"/>
      <w:r>
        <w:t>Hydropower Upstream GHG Emissions</w:t>
      </w:r>
      <w:bookmarkEnd w:id="35"/>
    </w:p>
    <w:p w14:paraId="5887CE56" w14:textId="53851227" w:rsidR="006A7A80" w:rsidRPr="00A856ED" w:rsidRDefault="00013329" w:rsidP="001824CA">
      <w:r>
        <w:t xml:space="preserve">Finally, the OLVCC </w:t>
      </w:r>
      <w:r w:rsidR="005C2BCF">
        <w:t>recommends the need to e</w:t>
      </w:r>
      <w:r w:rsidR="006A7A80">
        <w:t>stimate the GHG emissions for large hydro projects, including changes to carbon and other GHG fluxes due to inundation and hydro project development.</w:t>
      </w:r>
      <w:r w:rsidR="00A95CCF">
        <w:t xml:space="preserve">  </w:t>
      </w:r>
      <w:r w:rsidR="00605188">
        <w:t xml:space="preserve">The 2019 IPCC refinement includes recommendations on improvements to estimate emissions from flooded lands.  The levels, types and duration of emissions will vary from site to site based on </w:t>
      </w:r>
      <w:r w:rsidR="00437018">
        <w:t>many</w:t>
      </w:r>
      <w:r w:rsidR="00605188">
        <w:t xml:space="preserve"> factors</w:t>
      </w:r>
      <w:r w:rsidR="00437018">
        <w:t xml:space="preserve">.  Stakeholders have provided the Data and Science Subcommittee with citations </w:t>
      </w:r>
      <w:r w:rsidR="00D34A2D">
        <w:t>for research on estimating the GHG emissions from Hydro Quebec.</w:t>
      </w:r>
      <w:r w:rsidR="00D34A2D">
        <w:rPr>
          <w:rStyle w:val="FootnoteReference"/>
        </w:rPr>
        <w:footnoteReference w:id="24"/>
      </w:r>
      <w:r w:rsidR="00CE73DA">
        <w:t xml:space="preserve">  </w:t>
      </w:r>
      <w:r w:rsidR="001135DA">
        <w:t>As part of its Open EI</w:t>
      </w:r>
      <w:r w:rsidR="00FD0464">
        <w:t>, multi-source energy information initiative and services,</w:t>
      </w:r>
      <w:r w:rsidR="001135DA">
        <w:t xml:space="preserve"> </w:t>
      </w:r>
      <w:r w:rsidR="00F22D48">
        <w:t>The National Renewable Laboratory (NREL)</w:t>
      </w:r>
      <w:r w:rsidR="001135DA">
        <w:t xml:space="preserve"> </w:t>
      </w:r>
      <w:r w:rsidR="00F22D48">
        <w:t xml:space="preserve">has </w:t>
      </w:r>
      <w:r w:rsidR="00FD0464">
        <w:t>compiled</w:t>
      </w:r>
      <w:r w:rsidR="00F22D48">
        <w:t xml:space="preserve"> literature and research on analyses of </w:t>
      </w:r>
      <w:r w:rsidR="00FD0464">
        <w:t xml:space="preserve">LCA </w:t>
      </w:r>
      <w:r w:rsidR="00F22D48">
        <w:t>emissions from Hydro and other renewable energy resources</w:t>
      </w:r>
      <w:r w:rsidR="00FD0464">
        <w:t>.</w:t>
      </w:r>
      <w:r w:rsidR="00FD0464">
        <w:rPr>
          <w:rStyle w:val="FootnoteReference"/>
        </w:rPr>
        <w:footnoteReference w:id="25"/>
      </w:r>
      <w:r w:rsidR="00F22D48">
        <w:t xml:space="preserve"> </w:t>
      </w:r>
    </w:p>
    <w:p w14:paraId="46D7295C" w14:textId="64FDAFE1" w:rsidR="00544DDC" w:rsidRPr="00A856ED" w:rsidRDefault="00544DDC" w:rsidP="007C166C">
      <w:r>
        <w:t>Under IPCC and EPA guidance and Vermont’s current inventory practices th</w:t>
      </w:r>
      <w:r w:rsidR="00FD6003">
        <w:t>ese types of</w:t>
      </w:r>
      <w:r>
        <w:t xml:space="preserve"> emissions </w:t>
      </w:r>
      <w:r w:rsidR="00FD6003">
        <w:t xml:space="preserve">are accounted for in Quebec’s Inventory, which does include such estimates.  At the same time, in complementary fashion, Vermont’s assessment of electrification as a mitigation strategy can incorporate analyses based on a range of the literature based LCA emissions for large hydropower. </w:t>
      </w:r>
      <w:r>
        <w:t xml:space="preserve"> </w:t>
      </w:r>
    </w:p>
    <w:p w14:paraId="29113A87" w14:textId="7C095467" w:rsidR="00D21194" w:rsidRDefault="00582088" w:rsidP="00BF70FC">
      <w:pPr>
        <w:pStyle w:val="Heading2"/>
      </w:pPr>
      <w:bookmarkStart w:id="36" w:name="_Toc78869961"/>
      <w:r>
        <w:t>O</w:t>
      </w:r>
      <w:r w:rsidRPr="007C166C">
        <w:rPr>
          <w:rStyle w:val="Heading2Char"/>
        </w:rPr>
        <w:t>pportunities</w:t>
      </w:r>
      <w:bookmarkEnd w:id="36"/>
      <w:r w:rsidRPr="007C166C">
        <w:rPr>
          <w:rStyle w:val="Heading2Char"/>
        </w:rPr>
        <w:t xml:space="preserve"> </w:t>
      </w:r>
    </w:p>
    <w:p w14:paraId="68F4C6B7" w14:textId="4854BCE7" w:rsidR="00FF7F43" w:rsidRDefault="00212316" w:rsidP="001824CA">
      <w:r>
        <w:t xml:space="preserve">The issues, comparative analyses and research discussed above provide numerous examples of areas where Vermont has opportunity to enhance and complement its current GHG inventory.  </w:t>
      </w:r>
      <w:r w:rsidR="00EA4C0A">
        <w:lastRenderedPageBreak/>
        <w:t xml:space="preserve">Looking forward the importance of providing </w:t>
      </w:r>
      <w:r w:rsidR="00A508EA">
        <w:t xml:space="preserve">education, information and engagement </w:t>
      </w:r>
      <w:r w:rsidR="00E519BC">
        <w:t xml:space="preserve">that is </w:t>
      </w:r>
      <w:r w:rsidR="00D15303">
        <w:t xml:space="preserve">sustained and </w:t>
      </w:r>
      <w:r w:rsidR="00E519BC">
        <w:t xml:space="preserve">inclusive </w:t>
      </w:r>
      <w:r w:rsidR="00D15303">
        <w:t>can’t be</w:t>
      </w:r>
      <w:r w:rsidR="00E519BC">
        <w:t xml:space="preserve"> </w:t>
      </w:r>
      <w:r w:rsidR="00FF7F43">
        <w:t xml:space="preserve">overstated.  Addressing climate change is an issue that impacts every citizen and organization in Vermont.  It will </w:t>
      </w:r>
      <w:r w:rsidR="002E287F">
        <w:t xml:space="preserve">require significant shifts and reallocations from business as usual.  Some of these decisions will be able to be made proactively as legislation, regulation or </w:t>
      </w:r>
      <w:r w:rsidR="005A1A97">
        <w:t xml:space="preserve">through consumer choices.  Others may be reactive in response to climate driven damages and system adaptations.  </w:t>
      </w:r>
      <w:r w:rsidR="00FF7F43">
        <w:t xml:space="preserve">  </w:t>
      </w:r>
    </w:p>
    <w:p w14:paraId="0CB8D163" w14:textId="11669AC9" w:rsidR="003811CD" w:rsidRDefault="00AD3D7F" w:rsidP="00D501C0">
      <w:r>
        <w:t>Examples of complementary communications and analysis tools include the SLCP and NWL reports from California, and New York’s complementary results using a shorter horizon GWP for methane, and the CBEI’s from Oregon and Minnesota.  Other tools, such as “</w:t>
      </w:r>
      <w:r w:rsidR="001C711E">
        <w:t>Cool California</w:t>
      </w:r>
      <w:r>
        <w:t>”</w:t>
      </w:r>
      <w:r w:rsidR="00E7039F">
        <w:rPr>
          <w:rStyle w:val="FootnoteReference"/>
        </w:rPr>
        <w:footnoteReference w:id="26"/>
      </w:r>
      <w:r w:rsidR="00C12F3C">
        <w:t xml:space="preserve"> from the California Air Resources Board provide</w:t>
      </w:r>
      <w:r w:rsidR="001C711E">
        <w:t xml:space="preserve"> information</w:t>
      </w:r>
      <w:r w:rsidR="00C12F3C">
        <w:t xml:space="preserve"> for households, local governments, schools</w:t>
      </w:r>
      <w:r w:rsidR="00584B65">
        <w:t>,</w:t>
      </w:r>
      <w:r w:rsidR="00C12F3C">
        <w:t xml:space="preserve"> and small business</w:t>
      </w:r>
      <w:r w:rsidR="007A1B97">
        <w:t>es</w:t>
      </w:r>
      <w:r w:rsidR="00C12F3C">
        <w:t xml:space="preserve"> to help inform decision making.  </w:t>
      </w:r>
      <w:r w:rsidR="00584B65">
        <w:t xml:space="preserve">This tool includes links to funding resources and is designed to help facilitate action. </w:t>
      </w:r>
      <w:r w:rsidR="00C12F3C">
        <w:t xml:space="preserve"> </w:t>
      </w:r>
    </w:p>
    <w:p w14:paraId="598CB11C" w14:textId="282DD57A" w:rsidR="00584B65" w:rsidRDefault="00584B65" w:rsidP="001C711E">
      <w:r>
        <w:t xml:space="preserve">Mitigation analyses and scenarios to be analyzed for the Climate Action Plan can incorporate upstream emissions and alternative GWPs for methane to help identify policies, </w:t>
      </w:r>
      <w:r w:rsidR="001E18D9">
        <w:t>actions,</w:t>
      </w:r>
      <w:r>
        <w:t xml:space="preserve"> and strategies with the largest and most cost-effective emissions reductions, whether or not those emissions reductions are counted under Vermont’s inventory methodology.  </w:t>
      </w:r>
    </w:p>
    <w:p w14:paraId="0D00F496" w14:textId="71E053C1" w:rsidR="00DC4D74" w:rsidRDefault="00DC4D74" w:rsidP="00DC4D74">
      <w:pPr>
        <w:pStyle w:val="Heading1"/>
      </w:pPr>
      <w:bookmarkStart w:id="37" w:name="_Toc78869962"/>
      <w:r>
        <w:t>Conclusions</w:t>
      </w:r>
      <w:bookmarkEnd w:id="37"/>
    </w:p>
    <w:p w14:paraId="5C8CA5D9" w14:textId="14A91A62" w:rsidR="0026081C" w:rsidRDefault="00EB662A" w:rsidP="00E930F3">
      <w:r>
        <w:t xml:space="preserve">This report represents </w:t>
      </w:r>
      <w:r w:rsidR="0026081C">
        <w:t xml:space="preserve">a rapid assessment (2 months) and review of Vermont’s GHG Inventory.  We have compared the Vermont Inventory with the guidance from national and international agencies and with experience from other select states.  Our review and analysis has also considered issues with the Vermont Inventory identified by stakeholders engaged with the VCC’s development of the Climate Action Plan.  </w:t>
      </w:r>
    </w:p>
    <w:p w14:paraId="6642D82B" w14:textId="26B21365" w:rsidR="00EB662A" w:rsidRDefault="00420ECA" w:rsidP="00E930F3">
      <w:r>
        <w:t xml:space="preserve">The EFG team, as a part of the larger Technical Consultant Team supporting the VCC, provides the following key findings and recommendations based on this research. </w:t>
      </w:r>
      <w:r w:rsidR="0026081C">
        <w:t xml:space="preserve">   </w:t>
      </w:r>
    </w:p>
    <w:p w14:paraId="7414B4E2" w14:textId="77777777" w:rsidR="00D72623" w:rsidRDefault="00D72623" w:rsidP="005451A4">
      <w:pPr>
        <w:pStyle w:val="Heading2"/>
      </w:pPr>
      <w:bookmarkStart w:id="38" w:name="_Toc78869963"/>
      <w:r>
        <w:t>Key Findings</w:t>
      </w:r>
      <w:bookmarkEnd w:id="38"/>
      <w:r>
        <w:t xml:space="preserve"> </w:t>
      </w:r>
    </w:p>
    <w:p w14:paraId="16333E1A" w14:textId="77777777" w:rsidR="000B045C" w:rsidRDefault="000B045C" w:rsidP="000B045C">
      <w:pPr>
        <w:pStyle w:val="ListParagraph"/>
        <w:numPr>
          <w:ilvl w:val="0"/>
          <w:numId w:val="37"/>
        </w:numPr>
      </w:pPr>
      <w:r>
        <w:t>Vermont’s current inventory methods are generally consistent with guidelines from the EPA, IPCC and with the practices of California, New York, and Massachusetts.  They are also consistent with the primary inventory methods for Oregon and Minnesota.</w:t>
      </w:r>
      <w:r>
        <w:br/>
      </w:r>
    </w:p>
    <w:p w14:paraId="46E22764" w14:textId="77777777" w:rsidR="00A70C5A" w:rsidRDefault="00A70C5A" w:rsidP="00A70C5A">
      <w:pPr>
        <w:pStyle w:val="ListParagraph"/>
        <w:numPr>
          <w:ilvl w:val="0"/>
          <w:numId w:val="37"/>
        </w:numPr>
      </w:pPr>
      <w:r>
        <w:lastRenderedPageBreak/>
        <w:t xml:space="preserve">Vermont can demonstrate leadership in the development of an actionable Climate Action Plan, and its implementation based on the current GHG inventory, and its methods.  </w:t>
      </w:r>
      <w:r>
        <w:br/>
      </w:r>
    </w:p>
    <w:p w14:paraId="6D0DFDCB" w14:textId="77777777" w:rsidR="000B045C" w:rsidRDefault="000B045C" w:rsidP="000B045C">
      <w:pPr>
        <w:pStyle w:val="ListParagraph"/>
        <w:numPr>
          <w:ilvl w:val="0"/>
          <w:numId w:val="37"/>
        </w:numPr>
      </w:pPr>
      <w:r>
        <w:t xml:space="preserve">Vermont’s current sector-based inventory method does not represent, nor claim to be representing, life cycle accounting of greenhouse gas emissions.  Upstream and lifecycle emissions can be analyzed to inform decision making without necessarily including them in the Inventory. </w:t>
      </w:r>
      <w:r>
        <w:br/>
      </w:r>
    </w:p>
    <w:p w14:paraId="4CCE461D" w14:textId="77777777" w:rsidR="000B045C" w:rsidRDefault="000B045C" w:rsidP="000B045C">
      <w:pPr>
        <w:pStyle w:val="ListParagraph"/>
        <w:numPr>
          <w:ilvl w:val="0"/>
          <w:numId w:val="37"/>
        </w:numPr>
      </w:pPr>
      <w:r>
        <w:t xml:space="preserve">Supplemental approaches and analyses are being used by other jurisdictions to complement a sector-based inventory method.  Examples include CBEI in Oregon and Minnesota, and reporting on short-lived climate pollutant impacts (SLCP) in California. </w:t>
      </w:r>
      <w:r>
        <w:br/>
      </w:r>
    </w:p>
    <w:p w14:paraId="206499A2" w14:textId="77777777" w:rsidR="00A70C5A" w:rsidRDefault="00A70C5A" w:rsidP="00A70C5A">
      <w:pPr>
        <w:pStyle w:val="ListParagraph"/>
        <w:numPr>
          <w:ilvl w:val="0"/>
          <w:numId w:val="37"/>
        </w:numPr>
      </w:pPr>
      <w:r>
        <w:t>There are important opportunities to complement the inventory with supplemental analyses to inform decision making and the development and implementation of mitigation policies, strategies, and actions.</w:t>
      </w:r>
      <w:r>
        <w:br/>
      </w:r>
    </w:p>
    <w:p w14:paraId="4E66A030" w14:textId="77777777" w:rsidR="00A70C5A" w:rsidRDefault="00A70C5A" w:rsidP="00A70C5A">
      <w:pPr>
        <w:pStyle w:val="ListParagraph"/>
        <w:numPr>
          <w:ilvl w:val="0"/>
          <w:numId w:val="37"/>
        </w:numPr>
      </w:pPr>
      <w:r>
        <w:t xml:space="preserve">The IPCC, while not recommending lifecycle accounting as a greenhouse gas inventory method, does recommend lifecycle analyses, and consideration of impacts on emissions outside of jurisdictional boundaries, as important elements in mitigation analyses. </w:t>
      </w:r>
      <w:r>
        <w:br/>
      </w:r>
    </w:p>
    <w:p w14:paraId="521C1E17" w14:textId="77777777" w:rsidR="00A70C5A" w:rsidRDefault="00A70C5A" w:rsidP="00A70C5A">
      <w:pPr>
        <w:pStyle w:val="ListParagraph"/>
        <w:numPr>
          <w:ilvl w:val="0"/>
          <w:numId w:val="37"/>
        </w:numPr>
      </w:pPr>
      <w:r>
        <w:t>The complexities of full life cycle inventory accounting and reporting are immense and could divert resources from inventory and mitigation efforts that have more direct and practical connections to actions that reduce emissions.</w:t>
      </w:r>
      <w:r>
        <w:br/>
      </w:r>
    </w:p>
    <w:p w14:paraId="2AB16BCD" w14:textId="6CE93F3E" w:rsidR="00420ECA" w:rsidRDefault="00A70C5A" w:rsidP="00A70C5A">
      <w:pPr>
        <w:pStyle w:val="ListParagraph"/>
        <w:numPr>
          <w:ilvl w:val="0"/>
          <w:numId w:val="37"/>
        </w:numPr>
      </w:pPr>
      <w:r>
        <w:t>Public awareness and education are foundational for inclusivity.</w:t>
      </w:r>
      <w:r w:rsidR="000B045C">
        <w:t xml:space="preserve"> </w:t>
      </w:r>
    </w:p>
    <w:p w14:paraId="51D8ECA3" w14:textId="6122FC61" w:rsidR="00404282" w:rsidRDefault="00D72623" w:rsidP="000B045C">
      <w:pPr>
        <w:pStyle w:val="Heading2"/>
      </w:pPr>
      <w:bookmarkStart w:id="39" w:name="_Toc78869964"/>
      <w:r>
        <w:t>Recommendations</w:t>
      </w:r>
      <w:bookmarkEnd w:id="39"/>
    </w:p>
    <w:p w14:paraId="73B5E946" w14:textId="0A404131" w:rsidR="00E279C0" w:rsidRDefault="00E279C0" w:rsidP="00E279C0">
      <w:pPr>
        <w:pStyle w:val="ListParagraph"/>
        <w:numPr>
          <w:ilvl w:val="0"/>
          <w:numId w:val="41"/>
        </w:numPr>
      </w:pPr>
      <w:r>
        <w:t>Vermont should maintain primary inventory consistency with international and national level guidelines and the practices of other leading states.  Vermont can contribute to the development and implementation of supplemental analyses at the same time.</w:t>
      </w:r>
      <w:r>
        <w:br/>
        <w:t xml:space="preserve"> </w:t>
      </w:r>
    </w:p>
    <w:p w14:paraId="24C32209" w14:textId="7747555B" w:rsidR="00E279C0" w:rsidRDefault="00E279C0" w:rsidP="00E279C0">
      <w:pPr>
        <w:pStyle w:val="ListParagraph"/>
        <w:numPr>
          <w:ilvl w:val="0"/>
          <w:numId w:val="41"/>
        </w:numPr>
      </w:pPr>
      <w:r w:rsidRPr="006D4D6F">
        <w:t>The development and adoption of a CBEI for Vermont should not</w:t>
      </w:r>
      <w:r>
        <w:t>,</w:t>
      </w:r>
      <w:r w:rsidRPr="006D4D6F">
        <w:t xml:space="preserve"> and cannot</w:t>
      </w:r>
      <w:r>
        <w:t>,</w:t>
      </w:r>
      <w:r w:rsidRPr="006D4D6F">
        <w:t xml:space="preserve"> replace the</w:t>
      </w:r>
      <w:r>
        <w:t xml:space="preserve"> sector-based emissions inventory and the associated reporting.  The GWSA targets are based on the sector-based reporting, and Vermont should maintain a primary annual inventory reporting method and accounting that is consistent with national and international guidelines.</w:t>
      </w:r>
      <w:r>
        <w:br/>
        <w:t xml:space="preserve">  </w:t>
      </w:r>
    </w:p>
    <w:p w14:paraId="6CFD73A1" w14:textId="06A268D7" w:rsidR="00E279C0" w:rsidRDefault="00E279C0" w:rsidP="00E279C0">
      <w:pPr>
        <w:pStyle w:val="ListParagraph"/>
        <w:numPr>
          <w:ilvl w:val="0"/>
          <w:numId w:val="41"/>
        </w:numPr>
      </w:pPr>
      <w:r>
        <w:lastRenderedPageBreak/>
        <w:t>Vermont should acknowledge the scope and ongoing scale of scientific and international community efforts to create a complete and non-duplicative accounting framework.</w:t>
      </w:r>
      <w:r>
        <w:br/>
        <w:t xml:space="preserve">  </w:t>
      </w:r>
    </w:p>
    <w:p w14:paraId="7875612E" w14:textId="1F9CBF6C" w:rsidR="00E279C0" w:rsidRDefault="00E279C0" w:rsidP="00E279C0">
      <w:pPr>
        <w:pStyle w:val="ListParagraph"/>
        <w:numPr>
          <w:ilvl w:val="0"/>
          <w:numId w:val="41"/>
        </w:numPr>
      </w:pPr>
      <w:r>
        <w:t>Clarifying and indicating that the Inventory is not used for all purposes, and that upstream emissions can be considered without being counted in the inventory may be helpful.</w:t>
      </w:r>
      <w:r>
        <w:br/>
      </w:r>
    </w:p>
    <w:p w14:paraId="4A1E17F3" w14:textId="5B68585E" w:rsidR="00E279C0" w:rsidRDefault="00E279C0" w:rsidP="00E279C0">
      <w:pPr>
        <w:pStyle w:val="ListParagraph"/>
        <w:numPr>
          <w:ilvl w:val="0"/>
          <w:numId w:val="41"/>
        </w:numPr>
      </w:pPr>
      <w:r>
        <w:t>Vermont should remain open to change as new data and methods emerge.</w:t>
      </w:r>
      <w:r>
        <w:br/>
      </w:r>
    </w:p>
    <w:p w14:paraId="7F899107" w14:textId="4D12E896" w:rsidR="00E279C0" w:rsidRDefault="00E279C0" w:rsidP="00E279C0">
      <w:pPr>
        <w:pStyle w:val="ListParagraph"/>
        <w:numPr>
          <w:ilvl w:val="0"/>
          <w:numId w:val="41"/>
        </w:numPr>
      </w:pPr>
      <w:r>
        <w:t>Vermont should conduct and maintain key category analyses, and summary reporting by GHG.</w:t>
      </w:r>
      <w:r>
        <w:br/>
        <w:t xml:space="preserve">  </w:t>
      </w:r>
    </w:p>
    <w:p w14:paraId="5B8DABE2" w14:textId="6971A58C" w:rsidR="00E279C0" w:rsidRDefault="00E279C0" w:rsidP="00E279C0">
      <w:pPr>
        <w:pStyle w:val="ListParagraph"/>
        <w:numPr>
          <w:ilvl w:val="0"/>
          <w:numId w:val="41"/>
        </w:numPr>
      </w:pPr>
      <w:r>
        <w:t>Each Inventory should also contain a sector-based summary of existing and emerging issues, possible changes to data and methods, and a discussion of supplemental analyses that can inform decision making.</w:t>
      </w:r>
      <w:r>
        <w:br/>
        <w:t xml:space="preserve"> </w:t>
      </w:r>
    </w:p>
    <w:p w14:paraId="6507DE22" w14:textId="47E8CAA5" w:rsidR="00E279C0" w:rsidRDefault="00E279C0" w:rsidP="00E279C0">
      <w:pPr>
        <w:pStyle w:val="ListParagraph"/>
        <w:numPr>
          <w:ilvl w:val="0"/>
          <w:numId w:val="41"/>
        </w:numPr>
      </w:pPr>
      <w:r>
        <w:t>Examples of supplemental analyses include reporting on the impacts from shorter time horizons and GWP modifications for methane, and accounting for upstream emissions from fossil fuels and hydro.</w:t>
      </w:r>
      <w:r>
        <w:br/>
        <w:t xml:space="preserve">   </w:t>
      </w:r>
    </w:p>
    <w:p w14:paraId="79E1A0CE" w14:textId="48B2ED2A" w:rsidR="00E279C0" w:rsidRDefault="00E279C0" w:rsidP="00E279C0">
      <w:pPr>
        <w:pStyle w:val="ListParagraph"/>
        <w:numPr>
          <w:ilvl w:val="0"/>
          <w:numId w:val="41"/>
        </w:numPr>
      </w:pPr>
      <w:r>
        <w:t>Literature and tools for lifecycle analyses should be used to analyze the relative impacts of mitigation pathways and consideration of policy and behavior without becoming the basis for the inventory.</w:t>
      </w:r>
      <w:r>
        <w:br/>
        <w:t xml:space="preserve">  </w:t>
      </w:r>
    </w:p>
    <w:p w14:paraId="5FE2F299" w14:textId="13413A34" w:rsidR="00E279C0" w:rsidRDefault="00E279C0" w:rsidP="00E279C0">
      <w:pPr>
        <w:pStyle w:val="ListParagraph"/>
        <w:numPr>
          <w:ilvl w:val="0"/>
          <w:numId w:val="41"/>
        </w:numPr>
      </w:pPr>
      <w:r>
        <w:t>Upstream emissions estimates should be applied as sensitivities and to inform mitigation pathway analyses without being adopted as formal inventory protocols.</w:t>
      </w:r>
      <w:r>
        <w:br/>
        <w:t xml:space="preserve">  </w:t>
      </w:r>
    </w:p>
    <w:p w14:paraId="2081C9DA" w14:textId="48629D7B" w:rsidR="00E279C0" w:rsidRDefault="00E279C0" w:rsidP="00E279C0">
      <w:pPr>
        <w:pStyle w:val="ListParagraph"/>
        <w:numPr>
          <w:ilvl w:val="0"/>
          <w:numId w:val="41"/>
        </w:numPr>
      </w:pPr>
      <w:r>
        <w:t xml:space="preserve">Increased staffing and resources devoted to maintaining, updating, and communicating results from the Inventory are warranted. </w:t>
      </w:r>
      <w:r>
        <w:br/>
        <w:t xml:space="preserve"> </w:t>
      </w:r>
    </w:p>
    <w:p w14:paraId="7EED3387" w14:textId="2E2963BF" w:rsidR="00404282" w:rsidRDefault="00E279C0" w:rsidP="00E279C0">
      <w:pPr>
        <w:pStyle w:val="ListParagraph"/>
        <w:numPr>
          <w:ilvl w:val="0"/>
          <w:numId w:val="41"/>
        </w:numPr>
      </w:pPr>
      <w:r>
        <w:t xml:space="preserve">Increasing public understanding and familiarity with the Inventory will help with the development and implementation of mitigation policy action and strategies.  </w:t>
      </w:r>
    </w:p>
    <w:p w14:paraId="6C4BAF38" w14:textId="77777777" w:rsidR="00584811" w:rsidRDefault="00584811">
      <w:pPr>
        <w:spacing w:after="160" w:line="259" w:lineRule="auto"/>
        <w:rPr>
          <w:rFonts w:asciiTheme="majorHAnsi" w:eastAsiaTheme="majorEastAsia" w:hAnsiTheme="majorHAnsi" w:cstheme="majorBidi"/>
          <w:b/>
          <w:color w:val="003F5F" w:themeColor="text2"/>
          <w:sz w:val="32"/>
          <w:szCs w:val="32"/>
        </w:rPr>
      </w:pPr>
      <w:r>
        <w:br w:type="page"/>
      </w:r>
    </w:p>
    <w:p w14:paraId="6CDEC8D6" w14:textId="6B530DF7" w:rsidR="00404282" w:rsidRDefault="00404282" w:rsidP="00404282">
      <w:pPr>
        <w:pStyle w:val="Heading1"/>
      </w:pPr>
      <w:bookmarkStart w:id="40" w:name="_Toc78869965"/>
      <w:r>
        <w:lastRenderedPageBreak/>
        <w:t>Appendices</w:t>
      </w:r>
      <w:bookmarkEnd w:id="40"/>
    </w:p>
    <w:p w14:paraId="7242550C" w14:textId="5ECE42A1" w:rsidR="006359DF" w:rsidRDefault="0037349F" w:rsidP="006928CC">
      <w:pPr>
        <w:pStyle w:val="Heading2"/>
        <w:numPr>
          <w:ilvl w:val="0"/>
          <w:numId w:val="42"/>
        </w:numPr>
      </w:pPr>
      <w:bookmarkStart w:id="41" w:name="_Toc78869966"/>
      <w:r>
        <w:t xml:space="preserve">Vermont </w:t>
      </w:r>
      <w:r w:rsidR="009F460A">
        <w:t>Method and Data Summary</w:t>
      </w:r>
      <w:bookmarkEnd w:id="41"/>
    </w:p>
    <w:p w14:paraId="4D7C4F86" w14:textId="217D822C" w:rsidR="003A1537" w:rsidRDefault="003A1537">
      <w:pPr>
        <w:spacing w:after="160" w:line="259" w:lineRule="auto"/>
      </w:pPr>
    </w:p>
    <w:tbl>
      <w:tblPr>
        <w:tblStyle w:val="TableGrid"/>
        <w:tblW w:w="0" w:type="auto"/>
        <w:tblLook w:val="04A0" w:firstRow="1" w:lastRow="0" w:firstColumn="1" w:lastColumn="0" w:noHBand="0" w:noVBand="1"/>
      </w:tblPr>
      <w:tblGrid>
        <w:gridCol w:w="1708"/>
        <w:gridCol w:w="1691"/>
        <w:gridCol w:w="1539"/>
        <w:gridCol w:w="1457"/>
        <w:gridCol w:w="1453"/>
        <w:gridCol w:w="1502"/>
      </w:tblGrid>
      <w:tr w:rsidR="0047300C" w:rsidRPr="00D35680" w14:paraId="44D281BC" w14:textId="77777777" w:rsidTr="00084978">
        <w:trPr>
          <w:trHeight w:val="980"/>
        </w:trPr>
        <w:tc>
          <w:tcPr>
            <w:tcW w:w="9350" w:type="dxa"/>
            <w:gridSpan w:val="6"/>
          </w:tcPr>
          <w:p w14:paraId="484CC947" w14:textId="2F1B7352" w:rsidR="0047300C" w:rsidRPr="00D35680" w:rsidRDefault="0047300C" w:rsidP="00084978">
            <w:pPr>
              <w:jc w:val="center"/>
              <w:rPr>
                <w:sz w:val="28"/>
                <w:szCs w:val="28"/>
              </w:rPr>
            </w:pPr>
            <w:r w:rsidRPr="003E23D0">
              <w:rPr>
                <w:sz w:val="32"/>
                <w:szCs w:val="32"/>
              </w:rPr>
              <w:t>Appendix Table A-</w:t>
            </w:r>
            <w:r w:rsidR="00D62AF7">
              <w:rPr>
                <w:sz w:val="32"/>
                <w:szCs w:val="32"/>
              </w:rPr>
              <w:t>1</w:t>
            </w:r>
            <w:r w:rsidRPr="003E23D0">
              <w:rPr>
                <w:sz w:val="32"/>
                <w:szCs w:val="32"/>
              </w:rPr>
              <w:t>:</w:t>
            </w:r>
            <w:r w:rsidRPr="003E23D0">
              <w:rPr>
                <w:sz w:val="32"/>
                <w:szCs w:val="32"/>
              </w:rPr>
              <w:br/>
              <w:t xml:space="preserve">Vermont Greenhouse Gas Inventory – Methods and Data Summary </w:t>
            </w:r>
          </w:p>
        </w:tc>
      </w:tr>
      <w:tr w:rsidR="0047300C" w:rsidRPr="003E23D0" w14:paraId="33C8C79E" w14:textId="77777777" w:rsidTr="008B749D">
        <w:tc>
          <w:tcPr>
            <w:tcW w:w="1708" w:type="dxa"/>
          </w:tcPr>
          <w:p w14:paraId="5AC7D413" w14:textId="77777777" w:rsidR="0047300C" w:rsidRPr="003E23D0" w:rsidRDefault="0047300C" w:rsidP="00084978">
            <w:pPr>
              <w:jc w:val="center"/>
              <w:rPr>
                <w:b/>
                <w:bCs/>
                <w:u w:val="single"/>
              </w:rPr>
            </w:pPr>
            <w:r w:rsidRPr="003E23D0">
              <w:rPr>
                <w:b/>
                <w:bCs/>
                <w:u w:val="single"/>
              </w:rPr>
              <w:t>Level/Sector</w:t>
            </w:r>
          </w:p>
        </w:tc>
        <w:tc>
          <w:tcPr>
            <w:tcW w:w="1691" w:type="dxa"/>
          </w:tcPr>
          <w:p w14:paraId="3F1FC162" w14:textId="77777777" w:rsidR="0047300C" w:rsidRPr="003E23D0" w:rsidRDefault="0047300C" w:rsidP="00084978">
            <w:pPr>
              <w:jc w:val="center"/>
              <w:rPr>
                <w:b/>
                <w:bCs/>
                <w:u w:val="single"/>
              </w:rPr>
            </w:pPr>
            <w:r w:rsidRPr="003E23D0">
              <w:rPr>
                <w:b/>
                <w:bCs/>
                <w:u w:val="single"/>
              </w:rPr>
              <w:t>Primary Method</w:t>
            </w:r>
          </w:p>
        </w:tc>
        <w:tc>
          <w:tcPr>
            <w:tcW w:w="1539" w:type="dxa"/>
          </w:tcPr>
          <w:p w14:paraId="404A9655" w14:textId="77777777" w:rsidR="0047300C" w:rsidRPr="003E23D0" w:rsidRDefault="0047300C" w:rsidP="00084978">
            <w:pPr>
              <w:jc w:val="center"/>
              <w:rPr>
                <w:b/>
                <w:bCs/>
                <w:u w:val="single"/>
              </w:rPr>
            </w:pPr>
            <w:r w:rsidRPr="003E23D0">
              <w:rPr>
                <w:b/>
                <w:bCs/>
                <w:u w:val="single"/>
              </w:rPr>
              <w:t>Primary Data</w:t>
            </w:r>
          </w:p>
        </w:tc>
        <w:tc>
          <w:tcPr>
            <w:tcW w:w="1457" w:type="dxa"/>
          </w:tcPr>
          <w:p w14:paraId="08760A88" w14:textId="77777777" w:rsidR="0047300C" w:rsidRPr="003E23D0" w:rsidRDefault="0047300C" w:rsidP="00084978">
            <w:pPr>
              <w:jc w:val="center"/>
              <w:rPr>
                <w:b/>
                <w:bCs/>
                <w:u w:val="single"/>
              </w:rPr>
            </w:pPr>
            <w:r w:rsidRPr="003E23D0">
              <w:rPr>
                <w:b/>
                <w:bCs/>
                <w:u w:val="single"/>
              </w:rPr>
              <w:t>Supporting Method(s)</w:t>
            </w:r>
          </w:p>
        </w:tc>
        <w:tc>
          <w:tcPr>
            <w:tcW w:w="1453" w:type="dxa"/>
          </w:tcPr>
          <w:p w14:paraId="337EBA1B" w14:textId="77777777" w:rsidR="0047300C" w:rsidRPr="003E23D0" w:rsidRDefault="0047300C" w:rsidP="00084978">
            <w:pPr>
              <w:jc w:val="center"/>
              <w:rPr>
                <w:b/>
                <w:bCs/>
                <w:u w:val="single"/>
              </w:rPr>
            </w:pPr>
            <w:r w:rsidRPr="003E23D0">
              <w:rPr>
                <w:b/>
                <w:bCs/>
                <w:u w:val="single"/>
              </w:rPr>
              <w:t>Supporting Data</w:t>
            </w:r>
          </w:p>
        </w:tc>
        <w:tc>
          <w:tcPr>
            <w:tcW w:w="1502" w:type="dxa"/>
          </w:tcPr>
          <w:p w14:paraId="1FB66837" w14:textId="77777777" w:rsidR="0047300C" w:rsidRPr="003E23D0" w:rsidRDefault="0047300C" w:rsidP="00084978">
            <w:pPr>
              <w:jc w:val="center"/>
              <w:rPr>
                <w:b/>
                <w:bCs/>
                <w:u w:val="single"/>
              </w:rPr>
            </w:pPr>
            <w:r w:rsidRPr="003E23D0">
              <w:rPr>
                <w:b/>
                <w:bCs/>
                <w:u w:val="single"/>
              </w:rPr>
              <w:t>Notes</w:t>
            </w:r>
          </w:p>
        </w:tc>
      </w:tr>
      <w:tr w:rsidR="0047300C" w:rsidRPr="00324AB9" w14:paraId="6B4E108E" w14:textId="77777777" w:rsidTr="008B749D">
        <w:tc>
          <w:tcPr>
            <w:tcW w:w="1708" w:type="dxa"/>
          </w:tcPr>
          <w:p w14:paraId="389ED6BC" w14:textId="77777777" w:rsidR="0047300C" w:rsidRPr="00407F44" w:rsidRDefault="0047300C" w:rsidP="00084978">
            <w:pPr>
              <w:rPr>
                <w:b/>
                <w:bCs/>
                <w:sz w:val="20"/>
                <w:szCs w:val="20"/>
              </w:rPr>
            </w:pPr>
            <w:r w:rsidRPr="00407F44">
              <w:rPr>
                <w:b/>
                <w:bCs/>
                <w:sz w:val="20"/>
                <w:szCs w:val="20"/>
              </w:rPr>
              <w:t xml:space="preserve">Overall </w:t>
            </w:r>
          </w:p>
        </w:tc>
        <w:tc>
          <w:tcPr>
            <w:tcW w:w="1691" w:type="dxa"/>
          </w:tcPr>
          <w:p w14:paraId="40A0B813" w14:textId="77777777" w:rsidR="0047300C" w:rsidRPr="00324AB9" w:rsidRDefault="0047300C" w:rsidP="00084978">
            <w:pPr>
              <w:rPr>
                <w:sz w:val="20"/>
                <w:szCs w:val="20"/>
              </w:rPr>
            </w:pPr>
            <w:r w:rsidRPr="00324AB9">
              <w:rPr>
                <w:sz w:val="20"/>
                <w:szCs w:val="20"/>
              </w:rPr>
              <w:t>Environmental Protection Agency State Inventory Tool (EPA SIT)</w:t>
            </w:r>
          </w:p>
        </w:tc>
        <w:tc>
          <w:tcPr>
            <w:tcW w:w="1539" w:type="dxa"/>
          </w:tcPr>
          <w:p w14:paraId="70C27935" w14:textId="77777777" w:rsidR="0047300C" w:rsidRPr="00D35680" w:rsidRDefault="0047300C" w:rsidP="00084978">
            <w:pPr>
              <w:rPr>
                <w:b/>
                <w:bCs/>
                <w:sz w:val="20"/>
                <w:szCs w:val="20"/>
              </w:rPr>
            </w:pPr>
            <w:r w:rsidRPr="00324AB9">
              <w:rPr>
                <w:sz w:val="20"/>
                <w:szCs w:val="20"/>
              </w:rPr>
              <w:t>Energy Information Administration (EIA) State Energy Data System (SEDS)</w:t>
            </w:r>
          </w:p>
        </w:tc>
        <w:tc>
          <w:tcPr>
            <w:tcW w:w="1457" w:type="dxa"/>
          </w:tcPr>
          <w:p w14:paraId="6FB0CAF4" w14:textId="77777777" w:rsidR="0047300C" w:rsidRPr="00324AB9" w:rsidRDefault="0047300C" w:rsidP="00084978">
            <w:pPr>
              <w:rPr>
                <w:sz w:val="20"/>
                <w:szCs w:val="20"/>
              </w:rPr>
            </w:pPr>
          </w:p>
        </w:tc>
        <w:tc>
          <w:tcPr>
            <w:tcW w:w="1453" w:type="dxa"/>
          </w:tcPr>
          <w:p w14:paraId="6C66F7A3" w14:textId="77777777" w:rsidR="0047300C" w:rsidRPr="00324AB9" w:rsidRDefault="0047300C" w:rsidP="00084978">
            <w:pPr>
              <w:rPr>
                <w:sz w:val="20"/>
                <w:szCs w:val="20"/>
              </w:rPr>
            </w:pPr>
          </w:p>
        </w:tc>
        <w:tc>
          <w:tcPr>
            <w:tcW w:w="1502" w:type="dxa"/>
          </w:tcPr>
          <w:p w14:paraId="453711F0" w14:textId="77777777" w:rsidR="0047300C" w:rsidRPr="00324AB9" w:rsidRDefault="0047300C" w:rsidP="00084978">
            <w:pPr>
              <w:rPr>
                <w:sz w:val="20"/>
                <w:szCs w:val="20"/>
              </w:rPr>
            </w:pPr>
            <w:r w:rsidRPr="00324AB9">
              <w:rPr>
                <w:sz w:val="20"/>
                <w:szCs w:val="20"/>
              </w:rPr>
              <w:t xml:space="preserve">Vermont Greenhouse Gas Emissions Inventory and Forecast: </w:t>
            </w:r>
          </w:p>
          <w:p w14:paraId="6CB8096A" w14:textId="77777777" w:rsidR="0047300C" w:rsidRPr="00324AB9" w:rsidRDefault="0047300C" w:rsidP="00084978">
            <w:pPr>
              <w:rPr>
                <w:sz w:val="20"/>
                <w:szCs w:val="20"/>
              </w:rPr>
            </w:pPr>
            <w:r w:rsidRPr="00324AB9">
              <w:rPr>
                <w:sz w:val="20"/>
                <w:szCs w:val="20"/>
              </w:rPr>
              <w:t>1990 – 2017, page 7.</w:t>
            </w:r>
          </w:p>
        </w:tc>
      </w:tr>
      <w:tr w:rsidR="0047300C" w14:paraId="6B3EA362" w14:textId="77777777" w:rsidTr="008B749D">
        <w:tc>
          <w:tcPr>
            <w:tcW w:w="1708" w:type="dxa"/>
          </w:tcPr>
          <w:p w14:paraId="2CDE0AE7" w14:textId="77777777" w:rsidR="0047300C" w:rsidRPr="00407F44" w:rsidRDefault="0047300C" w:rsidP="00084978">
            <w:pPr>
              <w:rPr>
                <w:b/>
                <w:bCs/>
              </w:rPr>
            </w:pPr>
            <w:r w:rsidRPr="00407F44">
              <w:rPr>
                <w:b/>
                <w:bCs/>
              </w:rPr>
              <w:t>Overall</w:t>
            </w:r>
          </w:p>
        </w:tc>
        <w:tc>
          <w:tcPr>
            <w:tcW w:w="1691" w:type="dxa"/>
          </w:tcPr>
          <w:p w14:paraId="5D55085F" w14:textId="77777777" w:rsidR="0047300C" w:rsidRPr="008B749D" w:rsidRDefault="0047300C" w:rsidP="00084978">
            <w:pPr>
              <w:rPr>
                <w:sz w:val="20"/>
                <w:szCs w:val="20"/>
              </w:rPr>
            </w:pPr>
            <w:r w:rsidRPr="008B749D">
              <w:rPr>
                <w:sz w:val="20"/>
                <w:szCs w:val="20"/>
              </w:rPr>
              <w:t>Global Warming Potentials</w:t>
            </w:r>
          </w:p>
        </w:tc>
        <w:tc>
          <w:tcPr>
            <w:tcW w:w="1539" w:type="dxa"/>
          </w:tcPr>
          <w:p w14:paraId="222F1727" w14:textId="77777777" w:rsidR="0047300C" w:rsidRPr="008B749D" w:rsidRDefault="0047300C" w:rsidP="00084978">
            <w:pPr>
              <w:rPr>
                <w:sz w:val="20"/>
                <w:szCs w:val="20"/>
              </w:rPr>
            </w:pPr>
            <w:r w:rsidRPr="008B749D">
              <w:rPr>
                <w:sz w:val="20"/>
                <w:szCs w:val="20"/>
              </w:rPr>
              <w:t xml:space="preserve">100-year weighted GWP </w:t>
            </w:r>
          </w:p>
        </w:tc>
        <w:tc>
          <w:tcPr>
            <w:tcW w:w="1457" w:type="dxa"/>
          </w:tcPr>
          <w:p w14:paraId="03980990" w14:textId="77777777" w:rsidR="0047300C" w:rsidRPr="008B749D" w:rsidRDefault="0047300C" w:rsidP="00084978">
            <w:pPr>
              <w:rPr>
                <w:sz w:val="20"/>
                <w:szCs w:val="20"/>
              </w:rPr>
            </w:pPr>
          </w:p>
        </w:tc>
        <w:tc>
          <w:tcPr>
            <w:tcW w:w="1453" w:type="dxa"/>
          </w:tcPr>
          <w:p w14:paraId="7AB39D58" w14:textId="77777777" w:rsidR="0047300C" w:rsidRPr="008B749D" w:rsidRDefault="0047300C" w:rsidP="00084978">
            <w:pPr>
              <w:rPr>
                <w:sz w:val="20"/>
                <w:szCs w:val="20"/>
              </w:rPr>
            </w:pPr>
          </w:p>
        </w:tc>
        <w:tc>
          <w:tcPr>
            <w:tcW w:w="1502" w:type="dxa"/>
          </w:tcPr>
          <w:p w14:paraId="57A83679" w14:textId="77777777" w:rsidR="0047300C" w:rsidRPr="008B749D" w:rsidRDefault="0047300C" w:rsidP="00084978">
            <w:pPr>
              <w:rPr>
                <w:sz w:val="20"/>
                <w:szCs w:val="20"/>
              </w:rPr>
            </w:pPr>
            <w:r w:rsidRPr="008B749D">
              <w:rPr>
                <w:sz w:val="20"/>
                <w:szCs w:val="20"/>
              </w:rPr>
              <w:t>IPCC Fourth Assessment Report (AR4)</w:t>
            </w:r>
          </w:p>
        </w:tc>
      </w:tr>
      <w:tr w:rsidR="0047300C" w14:paraId="1BCA23FD" w14:textId="77777777" w:rsidTr="008B749D">
        <w:tc>
          <w:tcPr>
            <w:tcW w:w="1708" w:type="dxa"/>
          </w:tcPr>
          <w:p w14:paraId="5D0EE83A" w14:textId="77777777" w:rsidR="0047300C" w:rsidRPr="00407F44" w:rsidRDefault="0047300C" w:rsidP="00084978">
            <w:pPr>
              <w:rPr>
                <w:b/>
                <w:bCs/>
              </w:rPr>
            </w:pPr>
            <w:r w:rsidRPr="00407F44">
              <w:rPr>
                <w:b/>
                <w:bCs/>
              </w:rPr>
              <w:t xml:space="preserve">Overall </w:t>
            </w:r>
          </w:p>
        </w:tc>
        <w:tc>
          <w:tcPr>
            <w:tcW w:w="1691" w:type="dxa"/>
          </w:tcPr>
          <w:p w14:paraId="1FEFDC34" w14:textId="77777777" w:rsidR="0047300C" w:rsidRPr="008B749D" w:rsidRDefault="0047300C" w:rsidP="00084978">
            <w:pPr>
              <w:rPr>
                <w:sz w:val="20"/>
                <w:szCs w:val="20"/>
              </w:rPr>
            </w:pPr>
            <w:r w:rsidRPr="008B749D">
              <w:rPr>
                <w:sz w:val="20"/>
                <w:szCs w:val="20"/>
              </w:rPr>
              <w:t>Greenhouse Gases Covered</w:t>
            </w:r>
          </w:p>
        </w:tc>
        <w:tc>
          <w:tcPr>
            <w:tcW w:w="1539" w:type="dxa"/>
          </w:tcPr>
          <w:p w14:paraId="4AC97542" w14:textId="5632440B" w:rsidR="0047300C" w:rsidRPr="008B749D" w:rsidRDefault="0047300C" w:rsidP="00084978">
            <w:pPr>
              <w:rPr>
                <w:sz w:val="20"/>
                <w:szCs w:val="20"/>
              </w:rPr>
            </w:pPr>
            <w:r w:rsidRPr="008B749D">
              <w:rPr>
                <w:sz w:val="20"/>
                <w:szCs w:val="20"/>
              </w:rPr>
              <w:t>CO2, CH4, N20 for Transportation</w:t>
            </w:r>
            <w:r w:rsidR="003306CB" w:rsidRPr="008B749D">
              <w:rPr>
                <w:sz w:val="20"/>
                <w:szCs w:val="20"/>
              </w:rPr>
              <w:t xml:space="preserve"> and </w:t>
            </w:r>
            <w:r w:rsidRPr="008B749D">
              <w:rPr>
                <w:sz w:val="20"/>
                <w:szCs w:val="20"/>
              </w:rPr>
              <w:t xml:space="preserve">RCI, </w:t>
            </w:r>
          </w:p>
          <w:p w14:paraId="2DA43B4C" w14:textId="77777777" w:rsidR="0047300C" w:rsidRPr="008B749D" w:rsidRDefault="0047300C" w:rsidP="00084978">
            <w:pPr>
              <w:rPr>
                <w:sz w:val="20"/>
                <w:szCs w:val="20"/>
              </w:rPr>
            </w:pPr>
            <w:r w:rsidRPr="008B749D">
              <w:rPr>
                <w:sz w:val="20"/>
                <w:szCs w:val="20"/>
              </w:rPr>
              <w:t xml:space="preserve">Industrial: CO2, HFCs, PFCs, NF3, and SF6 (95% </w:t>
            </w:r>
            <w:proofErr w:type="spellStart"/>
            <w:r w:rsidRPr="008B749D">
              <w:rPr>
                <w:sz w:val="20"/>
                <w:szCs w:val="20"/>
              </w:rPr>
              <w:t>Flourinated</w:t>
            </w:r>
            <w:proofErr w:type="spellEnd"/>
            <w:r w:rsidRPr="008B749D">
              <w:rPr>
                <w:sz w:val="20"/>
                <w:szCs w:val="20"/>
              </w:rPr>
              <w:t xml:space="preserve"> gases).</w:t>
            </w:r>
          </w:p>
        </w:tc>
        <w:tc>
          <w:tcPr>
            <w:tcW w:w="1457" w:type="dxa"/>
          </w:tcPr>
          <w:p w14:paraId="10838FAE" w14:textId="77777777" w:rsidR="0047300C" w:rsidRPr="008B749D" w:rsidRDefault="0047300C" w:rsidP="00084978">
            <w:pPr>
              <w:rPr>
                <w:sz w:val="20"/>
                <w:szCs w:val="20"/>
              </w:rPr>
            </w:pPr>
          </w:p>
        </w:tc>
        <w:tc>
          <w:tcPr>
            <w:tcW w:w="1453" w:type="dxa"/>
          </w:tcPr>
          <w:p w14:paraId="222BBB1D" w14:textId="77777777" w:rsidR="0047300C" w:rsidRPr="008B749D" w:rsidRDefault="0047300C" w:rsidP="00084978">
            <w:pPr>
              <w:rPr>
                <w:sz w:val="20"/>
                <w:szCs w:val="20"/>
              </w:rPr>
            </w:pPr>
          </w:p>
        </w:tc>
        <w:tc>
          <w:tcPr>
            <w:tcW w:w="1502" w:type="dxa"/>
          </w:tcPr>
          <w:p w14:paraId="02B60428" w14:textId="77777777" w:rsidR="0047300C" w:rsidRPr="008B749D" w:rsidRDefault="0047300C" w:rsidP="00084978">
            <w:pPr>
              <w:rPr>
                <w:sz w:val="20"/>
                <w:szCs w:val="20"/>
              </w:rPr>
            </w:pPr>
          </w:p>
        </w:tc>
      </w:tr>
      <w:tr w:rsidR="0047300C" w14:paraId="01F3BB3C" w14:textId="77777777" w:rsidTr="008B749D">
        <w:tc>
          <w:tcPr>
            <w:tcW w:w="1708" w:type="dxa"/>
          </w:tcPr>
          <w:p w14:paraId="75068E8E" w14:textId="77777777" w:rsidR="0047300C" w:rsidRPr="00407F44" w:rsidRDefault="0047300C" w:rsidP="00084978">
            <w:pPr>
              <w:rPr>
                <w:b/>
                <w:bCs/>
              </w:rPr>
            </w:pPr>
            <w:r w:rsidRPr="00407F44">
              <w:rPr>
                <w:b/>
                <w:bCs/>
              </w:rPr>
              <w:t>Transportation Mobile Combustion</w:t>
            </w:r>
          </w:p>
        </w:tc>
        <w:tc>
          <w:tcPr>
            <w:tcW w:w="1691" w:type="dxa"/>
          </w:tcPr>
          <w:p w14:paraId="1797E236" w14:textId="77777777" w:rsidR="0047300C" w:rsidRPr="008B749D" w:rsidRDefault="0047300C" w:rsidP="00084978">
            <w:pPr>
              <w:rPr>
                <w:sz w:val="20"/>
                <w:szCs w:val="20"/>
              </w:rPr>
            </w:pPr>
            <w:r w:rsidRPr="008B749D">
              <w:rPr>
                <w:sz w:val="20"/>
                <w:szCs w:val="20"/>
              </w:rPr>
              <w:t>SIT Module for CO2 from fossil fuel combustion. CH4 and N2O SIT mobile combustion.</w:t>
            </w:r>
          </w:p>
        </w:tc>
        <w:tc>
          <w:tcPr>
            <w:tcW w:w="1539" w:type="dxa"/>
          </w:tcPr>
          <w:p w14:paraId="38CDF893" w14:textId="77777777" w:rsidR="0047300C" w:rsidRPr="008B749D" w:rsidRDefault="0047300C" w:rsidP="00084978">
            <w:pPr>
              <w:rPr>
                <w:sz w:val="20"/>
                <w:szCs w:val="20"/>
              </w:rPr>
            </w:pPr>
            <w:r w:rsidRPr="008B749D">
              <w:rPr>
                <w:sz w:val="20"/>
                <w:szCs w:val="20"/>
              </w:rPr>
              <w:t xml:space="preserve">Fuel sales data from Joint Fiscal Office for Gasoline, Diesel from SEDs.  </w:t>
            </w:r>
          </w:p>
        </w:tc>
        <w:tc>
          <w:tcPr>
            <w:tcW w:w="1457" w:type="dxa"/>
          </w:tcPr>
          <w:p w14:paraId="50C5F9C4" w14:textId="77777777" w:rsidR="0047300C" w:rsidRPr="008B749D" w:rsidRDefault="0047300C" w:rsidP="00084978">
            <w:pPr>
              <w:rPr>
                <w:sz w:val="20"/>
                <w:szCs w:val="20"/>
              </w:rPr>
            </w:pPr>
            <w:r w:rsidRPr="008B749D">
              <w:rPr>
                <w:sz w:val="20"/>
                <w:szCs w:val="20"/>
              </w:rPr>
              <w:t>National Emissions Inventory – EPA MOVES model</w:t>
            </w:r>
          </w:p>
        </w:tc>
        <w:tc>
          <w:tcPr>
            <w:tcW w:w="1453" w:type="dxa"/>
          </w:tcPr>
          <w:p w14:paraId="560BB04A" w14:textId="77777777" w:rsidR="0047300C" w:rsidRPr="008B749D" w:rsidRDefault="0047300C" w:rsidP="00084978">
            <w:pPr>
              <w:rPr>
                <w:sz w:val="20"/>
                <w:szCs w:val="20"/>
              </w:rPr>
            </w:pPr>
            <w:r w:rsidRPr="008B749D">
              <w:rPr>
                <w:sz w:val="20"/>
                <w:szCs w:val="20"/>
              </w:rPr>
              <w:t xml:space="preserve">Department of Motor Vehicles and </w:t>
            </w:r>
            <w:proofErr w:type="spellStart"/>
            <w:r w:rsidRPr="008B749D">
              <w:rPr>
                <w:sz w:val="20"/>
                <w:szCs w:val="20"/>
              </w:rPr>
              <w:t>VTrans</w:t>
            </w:r>
            <w:proofErr w:type="spellEnd"/>
          </w:p>
        </w:tc>
        <w:tc>
          <w:tcPr>
            <w:tcW w:w="1502" w:type="dxa"/>
          </w:tcPr>
          <w:p w14:paraId="1976E9CA" w14:textId="77777777" w:rsidR="0047300C" w:rsidRPr="008B749D" w:rsidRDefault="0047300C" w:rsidP="00084978">
            <w:pPr>
              <w:rPr>
                <w:sz w:val="20"/>
                <w:szCs w:val="20"/>
              </w:rPr>
            </w:pPr>
            <w:r w:rsidRPr="008B749D">
              <w:rPr>
                <w:sz w:val="20"/>
                <w:szCs w:val="20"/>
              </w:rPr>
              <w:t>Major change in method for the 2017 inventory. Historical estimate of on/off road.</w:t>
            </w:r>
          </w:p>
        </w:tc>
      </w:tr>
      <w:tr w:rsidR="0047300C" w14:paraId="3D861497" w14:textId="77777777" w:rsidTr="008B749D">
        <w:tc>
          <w:tcPr>
            <w:tcW w:w="1708" w:type="dxa"/>
          </w:tcPr>
          <w:p w14:paraId="7E629FE5" w14:textId="77777777" w:rsidR="0047300C" w:rsidRPr="00407F44" w:rsidRDefault="0047300C" w:rsidP="00084978">
            <w:pPr>
              <w:rPr>
                <w:b/>
                <w:bCs/>
              </w:rPr>
            </w:pPr>
            <w:r w:rsidRPr="00407F44">
              <w:rPr>
                <w:b/>
                <w:bCs/>
              </w:rPr>
              <w:lastRenderedPageBreak/>
              <w:t>Residential Commercial Fuel Use</w:t>
            </w:r>
          </w:p>
        </w:tc>
        <w:tc>
          <w:tcPr>
            <w:tcW w:w="1691" w:type="dxa"/>
          </w:tcPr>
          <w:p w14:paraId="289D0FC1" w14:textId="77777777" w:rsidR="0047300C" w:rsidRPr="008B749D" w:rsidRDefault="0047300C" w:rsidP="00084978">
            <w:pPr>
              <w:rPr>
                <w:sz w:val="20"/>
                <w:szCs w:val="20"/>
              </w:rPr>
            </w:pPr>
            <w:r w:rsidRPr="008B749D">
              <w:rPr>
                <w:sz w:val="20"/>
                <w:szCs w:val="20"/>
              </w:rPr>
              <w:t>SIT Module for CO2 from fossil fuel combustion. CH4 and N2O SIT stationary combustion.</w:t>
            </w:r>
          </w:p>
        </w:tc>
        <w:tc>
          <w:tcPr>
            <w:tcW w:w="1539" w:type="dxa"/>
          </w:tcPr>
          <w:p w14:paraId="2C721763" w14:textId="77777777" w:rsidR="0047300C" w:rsidRPr="008B749D" w:rsidRDefault="0047300C" w:rsidP="00084978">
            <w:pPr>
              <w:rPr>
                <w:sz w:val="20"/>
                <w:szCs w:val="20"/>
              </w:rPr>
            </w:pPr>
            <w:r w:rsidRPr="008B749D">
              <w:rPr>
                <w:sz w:val="20"/>
                <w:szCs w:val="20"/>
              </w:rPr>
              <w:t>EIA SEDs data</w:t>
            </w:r>
          </w:p>
        </w:tc>
        <w:tc>
          <w:tcPr>
            <w:tcW w:w="1457" w:type="dxa"/>
          </w:tcPr>
          <w:p w14:paraId="2FF7F440" w14:textId="77777777" w:rsidR="0047300C" w:rsidRPr="008B749D" w:rsidRDefault="0047300C" w:rsidP="00084978">
            <w:pPr>
              <w:rPr>
                <w:sz w:val="20"/>
                <w:szCs w:val="20"/>
              </w:rPr>
            </w:pPr>
            <w:r w:rsidRPr="008B749D">
              <w:rPr>
                <w:sz w:val="20"/>
                <w:szCs w:val="20"/>
              </w:rPr>
              <w:t>Vermont Department of Public Service and Agency of Natural Resources Air Quality Division</w:t>
            </w:r>
          </w:p>
        </w:tc>
        <w:tc>
          <w:tcPr>
            <w:tcW w:w="1453" w:type="dxa"/>
          </w:tcPr>
          <w:p w14:paraId="5662196F" w14:textId="77777777" w:rsidR="0047300C" w:rsidRPr="008B749D" w:rsidRDefault="0047300C" w:rsidP="00084978">
            <w:pPr>
              <w:rPr>
                <w:sz w:val="20"/>
                <w:szCs w:val="20"/>
              </w:rPr>
            </w:pPr>
            <w:r w:rsidRPr="008B749D">
              <w:rPr>
                <w:sz w:val="20"/>
                <w:szCs w:val="20"/>
              </w:rPr>
              <w:t>VT fuel assessment reports, ANR Point Source Emissions</w:t>
            </w:r>
          </w:p>
        </w:tc>
        <w:tc>
          <w:tcPr>
            <w:tcW w:w="1502" w:type="dxa"/>
          </w:tcPr>
          <w:p w14:paraId="0C769D88" w14:textId="77777777" w:rsidR="0047300C" w:rsidRPr="008B749D" w:rsidRDefault="0047300C" w:rsidP="00084978">
            <w:pPr>
              <w:rPr>
                <w:sz w:val="20"/>
                <w:szCs w:val="20"/>
              </w:rPr>
            </w:pPr>
            <w:r w:rsidRPr="008B749D">
              <w:rPr>
                <w:sz w:val="20"/>
                <w:szCs w:val="20"/>
              </w:rPr>
              <w:t>CO2 from wood combustion reported as supplement</w:t>
            </w:r>
          </w:p>
        </w:tc>
      </w:tr>
      <w:tr w:rsidR="0047300C" w14:paraId="7EDAE650" w14:textId="77777777" w:rsidTr="008B749D">
        <w:tc>
          <w:tcPr>
            <w:tcW w:w="1708" w:type="dxa"/>
          </w:tcPr>
          <w:p w14:paraId="5BD0C8CF" w14:textId="77777777" w:rsidR="0047300C" w:rsidRPr="00407F44" w:rsidRDefault="0047300C" w:rsidP="00084978">
            <w:pPr>
              <w:rPr>
                <w:b/>
                <w:bCs/>
              </w:rPr>
            </w:pPr>
            <w:r w:rsidRPr="00407F44">
              <w:rPr>
                <w:b/>
                <w:bCs/>
              </w:rPr>
              <w:t>Agriculture</w:t>
            </w:r>
          </w:p>
        </w:tc>
        <w:tc>
          <w:tcPr>
            <w:tcW w:w="1691" w:type="dxa"/>
          </w:tcPr>
          <w:p w14:paraId="73B492E0" w14:textId="77777777" w:rsidR="0047300C" w:rsidRPr="008B749D" w:rsidRDefault="0047300C" w:rsidP="00084978">
            <w:pPr>
              <w:rPr>
                <w:sz w:val="20"/>
                <w:szCs w:val="20"/>
              </w:rPr>
            </w:pPr>
            <w:r w:rsidRPr="008B749D">
              <w:rPr>
                <w:sz w:val="20"/>
                <w:szCs w:val="20"/>
              </w:rPr>
              <w:t>EPA SIT Tool</w:t>
            </w:r>
          </w:p>
        </w:tc>
        <w:tc>
          <w:tcPr>
            <w:tcW w:w="1539" w:type="dxa"/>
          </w:tcPr>
          <w:p w14:paraId="717387DE" w14:textId="77777777" w:rsidR="0047300C" w:rsidRPr="008B749D" w:rsidRDefault="0047300C" w:rsidP="00084978">
            <w:pPr>
              <w:rPr>
                <w:sz w:val="20"/>
                <w:szCs w:val="20"/>
              </w:rPr>
            </w:pPr>
            <w:r w:rsidRPr="008B749D">
              <w:rPr>
                <w:sz w:val="20"/>
                <w:szCs w:val="20"/>
              </w:rPr>
              <w:t>US Department of Agriculture Census Data</w:t>
            </w:r>
          </w:p>
        </w:tc>
        <w:tc>
          <w:tcPr>
            <w:tcW w:w="1457" w:type="dxa"/>
          </w:tcPr>
          <w:p w14:paraId="78305072" w14:textId="77777777" w:rsidR="0047300C" w:rsidRPr="008B749D" w:rsidRDefault="0047300C" w:rsidP="00084978">
            <w:pPr>
              <w:rPr>
                <w:sz w:val="20"/>
                <w:szCs w:val="20"/>
              </w:rPr>
            </w:pPr>
            <w:r w:rsidRPr="008B749D">
              <w:rPr>
                <w:sz w:val="20"/>
                <w:szCs w:val="20"/>
              </w:rPr>
              <w:t xml:space="preserve">US EPA </w:t>
            </w:r>
            <w:proofErr w:type="spellStart"/>
            <w:r w:rsidRPr="008B749D">
              <w:rPr>
                <w:sz w:val="20"/>
                <w:szCs w:val="20"/>
              </w:rPr>
              <w:t>AgStar</w:t>
            </w:r>
            <w:proofErr w:type="spellEnd"/>
            <w:r w:rsidRPr="008B749D">
              <w:rPr>
                <w:sz w:val="20"/>
                <w:szCs w:val="20"/>
              </w:rPr>
              <w:t xml:space="preserve"> database</w:t>
            </w:r>
          </w:p>
        </w:tc>
        <w:tc>
          <w:tcPr>
            <w:tcW w:w="1453" w:type="dxa"/>
          </w:tcPr>
          <w:p w14:paraId="708B2EE8" w14:textId="77777777" w:rsidR="0047300C" w:rsidRPr="008B749D" w:rsidRDefault="0047300C" w:rsidP="00084978">
            <w:pPr>
              <w:rPr>
                <w:sz w:val="20"/>
                <w:szCs w:val="20"/>
              </w:rPr>
            </w:pPr>
          </w:p>
        </w:tc>
        <w:tc>
          <w:tcPr>
            <w:tcW w:w="1502" w:type="dxa"/>
          </w:tcPr>
          <w:p w14:paraId="2693601C" w14:textId="77777777" w:rsidR="0047300C" w:rsidRPr="008B749D" w:rsidRDefault="0047300C" w:rsidP="00084978">
            <w:pPr>
              <w:rPr>
                <w:sz w:val="20"/>
                <w:szCs w:val="20"/>
              </w:rPr>
            </w:pPr>
            <w:r w:rsidRPr="008B749D">
              <w:rPr>
                <w:sz w:val="20"/>
                <w:szCs w:val="20"/>
              </w:rPr>
              <w:t>Key category for scale and trend. Current method is “cow based” and doesn’t capture improved management opportunities well.</w:t>
            </w:r>
          </w:p>
        </w:tc>
      </w:tr>
      <w:tr w:rsidR="0047300C" w14:paraId="013CC0F1" w14:textId="77777777" w:rsidTr="008B749D">
        <w:tc>
          <w:tcPr>
            <w:tcW w:w="1708" w:type="dxa"/>
          </w:tcPr>
          <w:p w14:paraId="2EC28A98" w14:textId="77777777" w:rsidR="0047300C" w:rsidRPr="00407F44" w:rsidRDefault="0047300C" w:rsidP="00084978">
            <w:pPr>
              <w:rPr>
                <w:b/>
                <w:bCs/>
              </w:rPr>
            </w:pPr>
            <w:r w:rsidRPr="00407F44">
              <w:rPr>
                <w:b/>
                <w:bCs/>
              </w:rPr>
              <w:t>Industrial Processes</w:t>
            </w:r>
          </w:p>
        </w:tc>
        <w:tc>
          <w:tcPr>
            <w:tcW w:w="1691" w:type="dxa"/>
          </w:tcPr>
          <w:p w14:paraId="784BA2B0" w14:textId="77777777" w:rsidR="0047300C" w:rsidRPr="008B749D" w:rsidRDefault="0047300C" w:rsidP="00084978">
            <w:pPr>
              <w:rPr>
                <w:sz w:val="20"/>
                <w:szCs w:val="20"/>
              </w:rPr>
            </w:pPr>
            <w:r w:rsidRPr="008B749D">
              <w:rPr>
                <w:sz w:val="20"/>
                <w:szCs w:val="20"/>
              </w:rPr>
              <w:t xml:space="preserve">ODS substitutes – California tool for Climate Alliance States – per capita and per vehicle </w:t>
            </w:r>
            <w:r w:rsidRPr="008B749D">
              <w:rPr>
                <w:sz w:val="20"/>
                <w:szCs w:val="20"/>
              </w:rPr>
              <w:br/>
            </w:r>
            <w:r w:rsidRPr="008B749D">
              <w:rPr>
                <w:sz w:val="20"/>
                <w:szCs w:val="20"/>
              </w:rPr>
              <w:br/>
            </w:r>
          </w:p>
          <w:p w14:paraId="08AD1FFE" w14:textId="77777777" w:rsidR="0047300C" w:rsidRPr="008B749D" w:rsidRDefault="0047300C" w:rsidP="00084978">
            <w:pPr>
              <w:rPr>
                <w:sz w:val="20"/>
                <w:szCs w:val="20"/>
              </w:rPr>
            </w:pPr>
          </w:p>
          <w:p w14:paraId="74B11608" w14:textId="77777777" w:rsidR="0047300C" w:rsidRPr="008B749D" w:rsidRDefault="0047300C" w:rsidP="00084978">
            <w:pPr>
              <w:rPr>
                <w:sz w:val="20"/>
                <w:szCs w:val="20"/>
              </w:rPr>
            </w:pPr>
          </w:p>
          <w:p w14:paraId="48A72B0A" w14:textId="77777777" w:rsidR="0047300C" w:rsidRPr="008B749D" w:rsidRDefault="0047300C" w:rsidP="00084978">
            <w:pPr>
              <w:rPr>
                <w:sz w:val="20"/>
                <w:szCs w:val="20"/>
              </w:rPr>
            </w:pPr>
          </w:p>
          <w:p w14:paraId="502AFB78" w14:textId="77777777" w:rsidR="0047300C" w:rsidRPr="008B749D" w:rsidRDefault="0047300C" w:rsidP="00084978">
            <w:pPr>
              <w:rPr>
                <w:sz w:val="20"/>
                <w:szCs w:val="20"/>
              </w:rPr>
            </w:pPr>
          </w:p>
          <w:p w14:paraId="1BFE0675" w14:textId="77777777" w:rsidR="0047300C" w:rsidRPr="008B749D" w:rsidRDefault="0047300C" w:rsidP="00084978">
            <w:pPr>
              <w:rPr>
                <w:sz w:val="20"/>
                <w:szCs w:val="20"/>
              </w:rPr>
            </w:pPr>
          </w:p>
          <w:p w14:paraId="7B4A8480" w14:textId="77777777" w:rsidR="0047300C" w:rsidRPr="008B749D" w:rsidRDefault="0047300C" w:rsidP="00084978">
            <w:pPr>
              <w:rPr>
                <w:sz w:val="20"/>
                <w:szCs w:val="20"/>
              </w:rPr>
            </w:pPr>
            <w:r w:rsidRPr="008B749D">
              <w:rPr>
                <w:sz w:val="20"/>
                <w:szCs w:val="20"/>
              </w:rPr>
              <w:t>Semi-conductor manufacturing EPA FLIGHT Tool</w:t>
            </w:r>
          </w:p>
        </w:tc>
        <w:tc>
          <w:tcPr>
            <w:tcW w:w="1539" w:type="dxa"/>
          </w:tcPr>
          <w:p w14:paraId="74CA2612" w14:textId="77777777" w:rsidR="0047300C" w:rsidRPr="008B749D" w:rsidRDefault="0047300C" w:rsidP="00084978">
            <w:pPr>
              <w:rPr>
                <w:sz w:val="20"/>
                <w:szCs w:val="20"/>
              </w:rPr>
            </w:pPr>
            <w:r w:rsidRPr="008B749D">
              <w:rPr>
                <w:sz w:val="20"/>
                <w:szCs w:val="20"/>
              </w:rPr>
              <w:t xml:space="preserve">Adjusted for VT by number of HH with AC or heat pumps.  </w:t>
            </w:r>
          </w:p>
          <w:p w14:paraId="0A237F3F" w14:textId="77777777" w:rsidR="0047300C" w:rsidRPr="008B749D" w:rsidRDefault="0047300C" w:rsidP="00084978">
            <w:pPr>
              <w:rPr>
                <w:sz w:val="20"/>
                <w:szCs w:val="20"/>
              </w:rPr>
            </w:pPr>
          </w:p>
          <w:p w14:paraId="0ED54D5C" w14:textId="77777777" w:rsidR="0047300C" w:rsidRPr="008B749D" w:rsidRDefault="0047300C" w:rsidP="00084978">
            <w:pPr>
              <w:rPr>
                <w:sz w:val="20"/>
                <w:szCs w:val="20"/>
              </w:rPr>
            </w:pPr>
          </w:p>
          <w:p w14:paraId="2805821D" w14:textId="77777777" w:rsidR="0047300C" w:rsidRPr="008B749D" w:rsidRDefault="0047300C" w:rsidP="00084978">
            <w:pPr>
              <w:rPr>
                <w:sz w:val="20"/>
                <w:szCs w:val="20"/>
              </w:rPr>
            </w:pPr>
          </w:p>
          <w:p w14:paraId="765D5525" w14:textId="77777777" w:rsidR="0047300C" w:rsidRPr="008B749D" w:rsidRDefault="0047300C" w:rsidP="00084978">
            <w:pPr>
              <w:rPr>
                <w:sz w:val="20"/>
                <w:szCs w:val="20"/>
              </w:rPr>
            </w:pPr>
          </w:p>
          <w:p w14:paraId="759858A3" w14:textId="77777777" w:rsidR="0047300C" w:rsidRPr="008B749D" w:rsidRDefault="0047300C" w:rsidP="00084978">
            <w:pPr>
              <w:rPr>
                <w:sz w:val="20"/>
                <w:szCs w:val="20"/>
              </w:rPr>
            </w:pPr>
          </w:p>
          <w:p w14:paraId="708D4A24" w14:textId="77777777" w:rsidR="0047300C" w:rsidRPr="008B749D" w:rsidRDefault="0047300C" w:rsidP="00084978">
            <w:pPr>
              <w:rPr>
                <w:sz w:val="20"/>
                <w:szCs w:val="20"/>
              </w:rPr>
            </w:pPr>
          </w:p>
          <w:p w14:paraId="77623AB0" w14:textId="77777777" w:rsidR="0047300C" w:rsidRPr="008B749D" w:rsidRDefault="0047300C" w:rsidP="00084978">
            <w:pPr>
              <w:rPr>
                <w:sz w:val="20"/>
                <w:szCs w:val="20"/>
              </w:rPr>
            </w:pPr>
          </w:p>
          <w:p w14:paraId="0E727CA2" w14:textId="77777777" w:rsidR="0047300C" w:rsidRPr="008B749D" w:rsidRDefault="0047300C" w:rsidP="00084978">
            <w:pPr>
              <w:rPr>
                <w:sz w:val="20"/>
                <w:szCs w:val="20"/>
              </w:rPr>
            </w:pPr>
          </w:p>
          <w:p w14:paraId="59240EB8" w14:textId="77777777" w:rsidR="0047300C" w:rsidRPr="008B749D" w:rsidRDefault="0047300C" w:rsidP="00084978">
            <w:pPr>
              <w:rPr>
                <w:sz w:val="20"/>
                <w:szCs w:val="20"/>
              </w:rPr>
            </w:pPr>
          </w:p>
          <w:p w14:paraId="575587B4" w14:textId="77777777" w:rsidR="0047300C" w:rsidRPr="008B749D" w:rsidRDefault="0047300C" w:rsidP="00084978">
            <w:pPr>
              <w:rPr>
                <w:sz w:val="20"/>
                <w:szCs w:val="20"/>
              </w:rPr>
            </w:pPr>
            <w:r w:rsidRPr="008B749D">
              <w:rPr>
                <w:sz w:val="20"/>
                <w:szCs w:val="20"/>
              </w:rPr>
              <w:t xml:space="preserve">Facility level Greenhouse gas </w:t>
            </w:r>
            <w:r w:rsidRPr="008B749D">
              <w:rPr>
                <w:sz w:val="20"/>
                <w:szCs w:val="20"/>
              </w:rPr>
              <w:lastRenderedPageBreak/>
              <w:t>reporting (GHGRP).</w:t>
            </w:r>
          </w:p>
        </w:tc>
        <w:tc>
          <w:tcPr>
            <w:tcW w:w="1457" w:type="dxa"/>
          </w:tcPr>
          <w:p w14:paraId="0743DC96" w14:textId="77777777" w:rsidR="0047300C" w:rsidRPr="008B749D" w:rsidRDefault="0047300C" w:rsidP="00084978">
            <w:pPr>
              <w:rPr>
                <w:sz w:val="20"/>
                <w:szCs w:val="20"/>
              </w:rPr>
            </w:pPr>
            <w:r w:rsidRPr="008B749D">
              <w:rPr>
                <w:sz w:val="20"/>
                <w:szCs w:val="20"/>
              </w:rPr>
              <w:lastRenderedPageBreak/>
              <w:t xml:space="preserve">SF6 based on annual consumption estimate.  </w:t>
            </w:r>
          </w:p>
          <w:p w14:paraId="517211F3" w14:textId="77777777" w:rsidR="0047300C" w:rsidRPr="008B749D" w:rsidRDefault="0047300C" w:rsidP="00084978">
            <w:pPr>
              <w:rPr>
                <w:sz w:val="20"/>
                <w:szCs w:val="20"/>
              </w:rPr>
            </w:pPr>
          </w:p>
          <w:p w14:paraId="20277E9B" w14:textId="77777777" w:rsidR="0047300C" w:rsidRPr="008B749D" w:rsidRDefault="0047300C" w:rsidP="00084978">
            <w:pPr>
              <w:rPr>
                <w:sz w:val="20"/>
                <w:szCs w:val="20"/>
              </w:rPr>
            </w:pPr>
            <w:r w:rsidRPr="008B749D">
              <w:rPr>
                <w:sz w:val="20"/>
                <w:szCs w:val="20"/>
              </w:rPr>
              <w:t>Limestone and dolomite, soda ash and urea all consumption and default SIT emissions</w:t>
            </w:r>
          </w:p>
          <w:p w14:paraId="2630C64B" w14:textId="77777777" w:rsidR="0047300C" w:rsidRPr="008B749D" w:rsidRDefault="0047300C" w:rsidP="00084978">
            <w:pPr>
              <w:rPr>
                <w:sz w:val="20"/>
                <w:szCs w:val="20"/>
              </w:rPr>
            </w:pPr>
          </w:p>
          <w:p w14:paraId="3833F7C0" w14:textId="77777777" w:rsidR="0047300C" w:rsidRPr="008B749D" w:rsidRDefault="0047300C" w:rsidP="00084978">
            <w:pPr>
              <w:rPr>
                <w:sz w:val="20"/>
                <w:szCs w:val="20"/>
              </w:rPr>
            </w:pPr>
            <w:r w:rsidRPr="008B749D">
              <w:rPr>
                <w:sz w:val="20"/>
                <w:szCs w:val="20"/>
              </w:rPr>
              <w:t>Semi-conductor Historical national trends prior to 2011.</w:t>
            </w:r>
          </w:p>
        </w:tc>
        <w:tc>
          <w:tcPr>
            <w:tcW w:w="1453" w:type="dxa"/>
          </w:tcPr>
          <w:p w14:paraId="3CB445AF" w14:textId="77777777" w:rsidR="0047300C" w:rsidRPr="008B749D" w:rsidRDefault="0047300C" w:rsidP="00084978">
            <w:pPr>
              <w:rPr>
                <w:sz w:val="20"/>
                <w:szCs w:val="20"/>
              </w:rPr>
            </w:pPr>
            <w:r w:rsidRPr="008B749D">
              <w:rPr>
                <w:sz w:val="20"/>
                <w:szCs w:val="20"/>
              </w:rPr>
              <w:t>Electric utilities</w:t>
            </w:r>
          </w:p>
        </w:tc>
        <w:tc>
          <w:tcPr>
            <w:tcW w:w="1502" w:type="dxa"/>
          </w:tcPr>
          <w:p w14:paraId="6AE2289B" w14:textId="77777777" w:rsidR="0047300C" w:rsidRPr="008B749D" w:rsidRDefault="0047300C" w:rsidP="00084978">
            <w:pPr>
              <w:rPr>
                <w:sz w:val="20"/>
                <w:szCs w:val="20"/>
              </w:rPr>
            </w:pPr>
            <w:r w:rsidRPr="008B749D">
              <w:rPr>
                <w:sz w:val="20"/>
                <w:szCs w:val="20"/>
              </w:rPr>
              <w:t>ODS substitutes ~60% and Semi-conductor manufacturing ~34%</w:t>
            </w:r>
          </w:p>
        </w:tc>
      </w:tr>
      <w:tr w:rsidR="0047300C" w14:paraId="796D0B2F" w14:textId="77777777" w:rsidTr="008B749D">
        <w:tc>
          <w:tcPr>
            <w:tcW w:w="1708" w:type="dxa"/>
          </w:tcPr>
          <w:p w14:paraId="12C29021" w14:textId="77777777" w:rsidR="0047300C" w:rsidRPr="00407F44" w:rsidRDefault="0047300C" w:rsidP="00084978">
            <w:pPr>
              <w:rPr>
                <w:b/>
                <w:bCs/>
              </w:rPr>
            </w:pPr>
            <w:r w:rsidRPr="00407F44">
              <w:rPr>
                <w:b/>
                <w:bCs/>
              </w:rPr>
              <w:t>Electric Consumption</w:t>
            </w:r>
          </w:p>
        </w:tc>
        <w:tc>
          <w:tcPr>
            <w:tcW w:w="1691" w:type="dxa"/>
          </w:tcPr>
          <w:p w14:paraId="4D200CC4" w14:textId="77777777" w:rsidR="0047300C" w:rsidRPr="008B749D" w:rsidRDefault="0047300C" w:rsidP="00084978">
            <w:pPr>
              <w:rPr>
                <w:sz w:val="20"/>
                <w:szCs w:val="20"/>
              </w:rPr>
            </w:pPr>
            <w:r w:rsidRPr="008B749D">
              <w:rPr>
                <w:sz w:val="20"/>
                <w:szCs w:val="20"/>
              </w:rPr>
              <w:t>Electricity consumption not just in-state generation, Public Service Department Tool</w:t>
            </w:r>
          </w:p>
        </w:tc>
        <w:tc>
          <w:tcPr>
            <w:tcW w:w="1539" w:type="dxa"/>
          </w:tcPr>
          <w:p w14:paraId="6196AB2F" w14:textId="77777777" w:rsidR="0047300C" w:rsidRPr="008B749D" w:rsidRDefault="0047300C" w:rsidP="00084978">
            <w:pPr>
              <w:rPr>
                <w:sz w:val="20"/>
                <w:szCs w:val="20"/>
              </w:rPr>
            </w:pPr>
            <w:r w:rsidRPr="008B749D">
              <w:rPr>
                <w:sz w:val="20"/>
                <w:szCs w:val="20"/>
              </w:rPr>
              <w:t>ISO-NE GIS, utility purchase decisions, Renewable Energy Certificate settlements.</w:t>
            </w:r>
          </w:p>
        </w:tc>
        <w:tc>
          <w:tcPr>
            <w:tcW w:w="1457" w:type="dxa"/>
          </w:tcPr>
          <w:p w14:paraId="6C32027D" w14:textId="77777777" w:rsidR="0047300C" w:rsidRPr="008B749D" w:rsidRDefault="0047300C" w:rsidP="00084978">
            <w:pPr>
              <w:rPr>
                <w:sz w:val="20"/>
                <w:szCs w:val="20"/>
              </w:rPr>
            </w:pPr>
          </w:p>
        </w:tc>
        <w:tc>
          <w:tcPr>
            <w:tcW w:w="1453" w:type="dxa"/>
          </w:tcPr>
          <w:p w14:paraId="55965C23" w14:textId="77777777" w:rsidR="0047300C" w:rsidRPr="008B749D" w:rsidRDefault="0047300C" w:rsidP="00084978">
            <w:pPr>
              <w:rPr>
                <w:sz w:val="20"/>
                <w:szCs w:val="20"/>
              </w:rPr>
            </w:pPr>
          </w:p>
        </w:tc>
        <w:tc>
          <w:tcPr>
            <w:tcW w:w="1502" w:type="dxa"/>
          </w:tcPr>
          <w:p w14:paraId="045985C2" w14:textId="77777777" w:rsidR="0047300C" w:rsidRPr="008B749D" w:rsidRDefault="0047300C" w:rsidP="00084978">
            <w:pPr>
              <w:rPr>
                <w:sz w:val="20"/>
                <w:szCs w:val="20"/>
              </w:rPr>
            </w:pPr>
            <w:r w:rsidRPr="008B749D">
              <w:rPr>
                <w:sz w:val="20"/>
                <w:szCs w:val="20"/>
              </w:rPr>
              <w:t>Wind, solar PV, hydropower, and nuclear zero GHG emitting. Biomass zero CO2, CH4 and N20 are estimated.</w:t>
            </w:r>
          </w:p>
        </w:tc>
      </w:tr>
      <w:tr w:rsidR="0047300C" w14:paraId="47C19167" w14:textId="77777777" w:rsidTr="008B749D">
        <w:tc>
          <w:tcPr>
            <w:tcW w:w="1708" w:type="dxa"/>
          </w:tcPr>
          <w:p w14:paraId="6753149D" w14:textId="77777777" w:rsidR="0047300C" w:rsidRPr="00407F44" w:rsidRDefault="0047300C" w:rsidP="00084978">
            <w:pPr>
              <w:rPr>
                <w:b/>
                <w:bCs/>
              </w:rPr>
            </w:pPr>
            <w:r w:rsidRPr="00407F44">
              <w:rPr>
                <w:b/>
                <w:bCs/>
              </w:rPr>
              <w:t>Waste</w:t>
            </w:r>
          </w:p>
        </w:tc>
        <w:tc>
          <w:tcPr>
            <w:tcW w:w="1691" w:type="dxa"/>
          </w:tcPr>
          <w:p w14:paraId="794AC5B1" w14:textId="77777777" w:rsidR="0047300C" w:rsidRPr="008B749D" w:rsidRDefault="0047300C" w:rsidP="00084978">
            <w:pPr>
              <w:rPr>
                <w:sz w:val="20"/>
                <w:szCs w:val="20"/>
              </w:rPr>
            </w:pPr>
            <w:r w:rsidRPr="008B749D">
              <w:rPr>
                <w:sz w:val="20"/>
                <w:szCs w:val="20"/>
              </w:rPr>
              <w:t>EPA SIT Wastewater module, CH4 and N20</w:t>
            </w:r>
          </w:p>
        </w:tc>
        <w:tc>
          <w:tcPr>
            <w:tcW w:w="1539" w:type="dxa"/>
          </w:tcPr>
          <w:p w14:paraId="448EFE67" w14:textId="77777777" w:rsidR="0047300C" w:rsidRPr="008B749D" w:rsidRDefault="0047300C" w:rsidP="00084978">
            <w:pPr>
              <w:rPr>
                <w:sz w:val="20"/>
                <w:szCs w:val="20"/>
              </w:rPr>
            </w:pPr>
            <w:r w:rsidRPr="008B749D">
              <w:rPr>
                <w:sz w:val="20"/>
                <w:szCs w:val="20"/>
              </w:rPr>
              <w:t>Default EPA data w adjustments Waste Management and Prevention Division data for septic systems and biosolid fertilizer use.</w:t>
            </w:r>
          </w:p>
        </w:tc>
        <w:tc>
          <w:tcPr>
            <w:tcW w:w="1457" w:type="dxa"/>
          </w:tcPr>
          <w:p w14:paraId="3CC28CDC" w14:textId="77777777" w:rsidR="0047300C" w:rsidRPr="008B749D" w:rsidRDefault="0047300C" w:rsidP="00084978">
            <w:pPr>
              <w:rPr>
                <w:sz w:val="20"/>
                <w:szCs w:val="20"/>
              </w:rPr>
            </w:pPr>
            <w:r w:rsidRPr="008B749D">
              <w:rPr>
                <w:sz w:val="20"/>
                <w:szCs w:val="20"/>
              </w:rPr>
              <w:t>Solid Waste – fugitive CH4 from LFG.  CO2 is biogenic and not included in main inventory</w:t>
            </w:r>
          </w:p>
        </w:tc>
        <w:tc>
          <w:tcPr>
            <w:tcW w:w="1453" w:type="dxa"/>
          </w:tcPr>
          <w:p w14:paraId="0EA2ACCA" w14:textId="77777777" w:rsidR="0047300C" w:rsidRPr="008B749D" w:rsidRDefault="0047300C" w:rsidP="00084978">
            <w:pPr>
              <w:rPr>
                <w:sz w:val="20"/>
                <w:szCs w:val="20"/>
              </w:rPr>
            </w:pPr>
          </w:p>
        </w:tc>
        <w:tc>
          <w:tcPr>
            <w:tcW w:w="1502" w:type="dxa"/>
          </w:tcPr>
          <w:p w14:paraId="11CB8532" w14:textId="77777777" w:rsidR="0047300C" w:rsidRPr="008B749D" w:rsidRDefault="0047300C" w:rsidP="00084978">
            <w:pPr>
              <w:rPr>
                <w:sz w:val="20"/>
                <w:szCs w:val="20"/>
              </w:rPr>
            </w:pPr>
            <w:r w:rsidRPr="008B749D">
              <w:rPr>
                <w:sz w:val="20"/>
                <w:szCs w:val="20"/>
              </w:rPr>
              <w:t>Not a key category based on scale.</w:t>
            </w:r>
          </w:p>
        </w:tc>
      </w:tr>
      <w:tr w:rsidR="0047300C" w14:paraId="4D3092B6" w14:textId="77777777" w:rsidTr="008B749D">
        <w:tc>
          <w:tcPr>
            <w:tcW w:w="1708" w:type="dxa"/>
          </w:tcPr>
          <w:p w14:paraId="67F3E5C5" w14:textId="77777777" w:rsidR="0047300C" w:rsidRPr="00407F44" w:rsidRDefault="0047300C" w:rsidP="00084978">
            <w:pPr>
              <w:rPr>
                <w:b/>
                <w:bCs/>
              </w:rPr>
            </w:pPr>
            <w:r w:rsidRPr="00407F44">
              <w:rPr>
                <w:b/>
                <w:bCs/>
              </w:rPr>
              <w:t>Fossil Fuel Industry</w:t>
            </w:r>
          </w:p>
        </w:tc>
        <w:tc>
          <w:tcPr>
            <w:tcW w:w="1691" w:type="dxa"/>
          </w:tcPr>
          <w:p w14:paraId="12C2B01A" w14:textId="77777777" w:rsidR="0047300C" w:rsidRPr="008B749D" w:rsidRDefault="0047300C" w:rsidP="00084978">
            <w:pPr>
              <w:rPr>
                <w:sz w:val="20"/>
                <w:szCs w:val="20"/>
              </w:rPr>
            </w:pPr>
            <w:r w:rsidRPr="008B749D">
              <w:rPr>
                <w:sz w:val="20"/>
                <w:szCs w:val="20"/>
              </w:rPr>
              <w:t>EPA SIT module</w:t>
            </w:r>
          </w:p>
        </w:tc>
        <w:tc>
          <w:tcPr>
            <w:tcW w:w="1539" w:type="dxa"/>
          </w:tcPr>
          <w:p w14:paraId="51EAA0BF" w14:textId="77777777" w:rsidR="0047300C" w:rsidRPr="008B749D" w:rsidRDefault="0047300C" w:rsidP="00084978">
            <w:pPr>
              <w:rPr>
                <w:sz w:val="20"/>
                <w:szCs w:val="20"/>
              </w:rPr>
            </w:pPr>
            <w:r w:rsidRPr="008B749D">
              <w:rPr>
                <w:sz w:val="20"/>
                <w:szCs w:val="20"/>
              </w:rPr>
              <w:t>Pipeline miles and emission factor from Pipelines and Hazardous Materials Safety Administration</w:t>
            </w:r>
          </w:p>
        </w:tc>
        <w:tc>
          <w:tcPr>
            <w:tcW w:w="1457" w:type="dxa"/>
          </w:tcPr>
          <w:p w14:paraId="3125AE48" w14:textId="77777777" w:rsidR="0047300C" w:rsidRPr="008B749D" w:rsidRDefault="0047300C" w:rsidP="00084978">
            <w:pPr>
              <w:rPr>
                <w:sz w:val="20"/>
                <w:szCs w:val="20"/>
              </w:rPr>
            </w:pPr>
          </w:p>
        </w:tc>
        <w:tc>
          <w:tcPr>
            <w:tcW w:w="1453" w:type="dxa"/>
          </w:tcPr>
          <w:p w14:paraId="0D9BD368" w14:textId="77777777" w:rsidR="0047300C" w:rsidRPr="008B749D" w:rsidRDefault="0047300C" w:rsidP="00084978">
            <w:pPr>
              <w:rPr>
                <w:sz w:val="20"/>
                <w:szCs w:val="20"/>
              </w:rPr>
            </w:pPr>
          </w:p>
        </w:tc>
        <w:tc>
          <w:tcPr>
            <w:tcW w:w="1502" w:type="dxa"/>
          </w:tcPr>
          <w:p w14:paraId="2E09E8B1" w14:textId="77777777" w:rsidR="0047300C" w:rsidRPr="008B749D" w:rsidRDefault="0047300C" w:rsidP="00084978">
            <w:pPr>
              <w:rPr>
                <w:sz w:val="20"/>
                <w:szCs w:val="20"/>
              </w:rPr>
            </w:pPr>
            <w:r w:rsidRPr="008B749D">
              <w:rPr>
                <w:sz w:val="20"/>
                <w:szCs w:val="20"/>
              </w:rPr>
              <w:t>Not a key category based on scale. Fugitive emissions based on transmission and distribution of gas</w:t>
            </w:r>
          </w:p>
        </w:tc>
      </w:tr>
    </w:tbl>
    <w:p w14:paraId="6DFAAEF8" w14:textId="77777777" w:rsidR="00CD6AD0" w:rsidRDefault="00CD6AD0" w:rsidP="0037349F"/>
    <w:p w14:paraId="156B122F" w14:textId="77777777" w:rsidR="00B67B97" w:rsidRDefault="00B67B97">
      <w:pPr>
        <w:spacing w:after="160" w:line="259" w:lineRule="auto"/>
        <w:rPr>
          <w:highlight w:val="yellow"/>
        </w:rPr>
      </w:pPr>
      <w:r>
        <w:rPr>
          <w:highlight w:val="yellow"/>
        </w:rPr>
        <w:br w:type="page"/>
      </w:r>
    </w:p>
    <w:p w14:paraId="1AE7903A" w14:textId="52752772" w:rsidR="00223729" w:rsidRDefault="00BF3D8B" w:rsidP="006928CC">
      <w:pPr>
        <w:pStyle w:val="Heading2"/>
        <w:numPr>
          <w:ilvl w:val="0"/>
          <w:numId w:val="42"/>
        </w:numPr>
      </w:pPr>
      <w:bookmarkStart w:id="42" w:name="_Toc78869967"/>
      <w:r>
        <w:lastRenderedPageBreak/>
        <w:t>Cross Walk Table</w:t>
      </w:r>
      <w:bookmarkEnd w:id="42"/>
    </w:p>
    <w:p w14:paraId="3018ABE8" w14:textId="3D87AFC9" w:rsidR="00542B88" w:rsidRPr="00542B88" w:rsidRDefault="00542B88" w:rsidP="00542B88">
      <w:r w:rsidRPr="003E23D0">
        <w:rPr>
          <w:sz w:val="32"/>
          <w:szCs w:val="32"/>
        </w:rPr>
        <w:t xml:space="preserve">Appendix Table </w:t>
      </w:r>
      <w:r>
        <w:rPr>
          <w:sz w:val="32"/>
          <w:szCs w:val="32"/>
        </w:rPr>
        <w:t>B</w:t>
      </w:r>
      <w:r w:rsidRPr="003E23D0">
        <w:rPr>
          <w:sz w:val="32"/>
          <w:szCs w:val="32"/>
        </w:rPr>
        <w:t>-</w:t>
      </w:r>
      <w:r>
        <w:rPr>
          <w:sz w:val="32"/>
          <w:szCs w:val="32"/>
        </w:rPr>
        <w:t>1</w:t>
      </w:r>
      <w:r w:rsidRPr="003E23D0">
        <w:rPr>
          <w:sz w:val="32"/>
          <w:szCs w:val="32"/>
        </w:rPr>
        <w:t>:</w:t>
      </w:r>
      <w:r w:rsidRPr="003E23D0">
        <w:rPr>
          <w:sz w:val="32"/>
          <w:szCs w:val="32"/>
        </w:rPr>
        <w:br/>
      </w:r>
      <w:r>
        <w:rPr>
          <w:sz w:val="32"/>
          <w:szCs w:val="32"/>
        </w:rPr>
        <w:t>Comparison of Vermont’s GHG Inventory to New York, Massachusetts, California, and U.S. National Inventory</w:t>
      </w:r>
    </w:p>
    <w:p w14:paraId="7019D6BB" w14:textId="77777777" w:rsidR="00D51328" w:rsidRDefault="00D51328">
      <w:pPr>
        <w:spacing w:after="160" w:line="259" w:lineRule="auto"/>
      </w:pPr>
      <w:r>
        <w:br w:type="page"/>
      </w:r>
    </w:p>
    <w:tbl>
      <w:tblPr>
        <w:tblW w:w="12096" w:type="dxa"/>
        <w:jc w:val="center"/>
        <w:tblLayout w:type="fixed"/>
        <w:tblLook w:val="04A0" w:firstRow="1" w:lastRow="0" w:firstColumn="1" w:lastColumn="0" w:noHBand="0" w:noVBand="1"/>
      </w:tblPr>
      <w:tblGrid>
        <w:gridCol w:w="2016"/>
        <w:gridCol w:w="2016"/>
        <w:gridCol w:w="2016"/>
        <w:gridCol w:w="2016"/>
        <w:gridCol w:w="2016"/>
        <w:gridCol w:w="2016"/>
      </w:tblGrid>
      <w:tr w:rsidR="00656C8C" w:rsidRPr="009A412F" w14:paraId="5F7DC11A" w14:textId="77777777" w:rsidTr="00273FC6">
        <w:trPr>
          <w:trHeight w:val="288"/>
          <w:tblHeader/>
          <w:jc w:val="center"/>
        </w:trPr>
        <w:tc>
          <w:tcPr>
            <w:tcW w:w="2016" w:type="dxa"/>
            <w:tcBorders>
              <w:top w:val="single" w:sz="4" w:space="0" w:color="4472C4"/>
              <w:left w:val="nil"/>
              <w:bottom w:val="single" w:sz="4" w:space="0" w:color="4472C4"/>
              <w:right w:val="nil"/>
            </w:tcBorders>
            <w:shd w:val="clear" w:color="auto" w:fill="auto"/>
            <w:noWrap/>
            <w:vAlign w:val="bottom"/>
            <w:hideMark/>
          </w:tcPr>
          <w:p w14:paraId="39B43BA4" w14:textId="77777777" w:rsidR="00656C8C" w:rsidRPr="009A412F" w:rsidRDefault="00656C8C" w:rsidP="00E16D8A">
            <w:pPr>
              <w:spacing w:after="0" w:line="240" w:lineRule="auto"/>
              <w:rPr>
                <w:rFonts w:eastAsia="Times New Roman" w:cs="Calibri"/>
                <w:b/>
                <w:bCs/>
                <w:color w:val="305496"/>
                <w:sz w:val="22"/>
              </w:rPr>
            </w:pPr>
            <w:r w:rsidRPr="009A412F">
              <w:rPr>
                <w:rFonts w:eastAsia="Times New Roman" w:cs="Calibri"/>
                <w:b/>
                <w:bCs/>
                <w:color w:val="305496"/>
                <w:sz w:val="22"/>
              </w:rPr>
              <w:lastRenderedPageBreak/>
              <w:t>Inventory Item</w:t>
            </w:r>
          </w:p>
        </w:tc>
        <w:tc>
          <w:tcPr>
            <w:tcW w:w="2016" w:type="dxa"/>
            <w:tcBorders>
              <w:top w:val="single" w:sz="4" w:space="0" w:color="4472C4"/>
              <w:left w:val="nil"/>
              <w:bottom w:val="single" w:sz="4" w:space="0" w:color="4472C4"/>
              <w:right w:val="nil"/>
            </w:tcBorders>
            <w:shd w:val="clear" w:color="auto" w:fill="auto"/>
            <w:noWrap/>
            <w:vAlign w:val="bottom"/>
            <w:hideMark/>
          </w:tcPr>
          <w:p w14:paraId="5260D393" w14:textId="77777777" w:rsidR="00656C8C" w:rsidRPr="009A412F" w:rsidRDefault="00656C8C" w:rsidP="00E16D8A">
            <w:pPr>
              <w:spacing w:after="0" w:line="240" w:lineRule="auto"/>
              <w:rPr>
                <w:rFonts w:eastAsia="Times New Roman" w:cs="Calibri"/>
                <w:b/>
                <w:bCs/>
                <w:color w:val="305496"/>
                <w:sz w:val="22"/>
              </w:rPr>
            </w:pPr>
            <w:r w:rsidRPr="009A412F">
              <w:rPr>
                <w:rFonts w:eastAsia="Times New Roman" w:cs="Calibri"/>
                <w:b/>
                <w:bCs/>
                <w:color w:val="305496"/>
                <w:sz w:val="22"/>
              </w:rPr>
              <w:t>Vermont</w:t>
            </w:r>
          </w:p>
        </w:tc>
        <w:tc>
          <w:tcPr>
            <w:tcW w:w="2016" w:type="dxa"/>
            <w:tcBorders>
              <w:top w:val="single" w:sz="4" w:space="0" w:color="4472C4"/>
              <w:left w:val="nil"/>
              <w:bottom w:val="single" w:sz="4" w:space="0" w:color="4472C4"/>
              <w:right w:val="nil"/>
            </w:tcBorders>
            <w:shd w:val="clear" w:color="auto" w:fill="auto"/>
            <w:noWrap/>
            <w:vAlign w:val="bottom"/>
            <w:hideMark/>
          </w:tcPr>
          <w:p w14:paraId="67A195CD" w14:textId="77777777" w:rsidR="00656C8C" w:rsidRPr="009A412F" w:rsidRDefault="00656C8C" w:rsidP="00E16D8A">
            <w:pPr>
              <w:spacing w:after="0" w:line="240" w:lineRule="auto"/>
              <w:rPr>
                <w:rFonts w:eastAsia="Times New Roman" w:cs="Calibri"/>
                <w:b/>
                <w:bCs/>
                <w:color w:val="305496"/>
                <w:sz w:val="22"/>
              </w:rPr>
            </w:pPr>
            <w:r w:rsidRPr="009A412F">
              <w:rPr>
                <w:rFonts w:eastAsia="Times New Roman" w:cs="Calibri"/>
                <w:b/>
                <w:bCs/>
                <w:color w:val="305496"/>
                <w:sz w:val="22"/>
              </w:rPr>
              <w:t>US National Inventory</w:t>
            </w:r>
          </w:p>
        </w:tc>
        <w:tc>
          <w:tcPr>
            <w:tcW w:w="2016" w:type="dxa"/>
            <w:tcBorders>
              <w:top w:val="single" w:sz="4" w:space="0" w:color="4472C4"/>
              <w:left w:val="nil"/>
              <w:bottom w:val="single" w:sz="4" w:space="0" w:color="4472C4"/>
              <w:right w:val="nil"/>
            </w:tcBorders>
            <w:shd w:val="clear" w:color="auto" w:fill="auto"/>
            <w:noWrap/>
            <w:vAlign w:val="bottom"/>
            <w:hideMark/>
          </w:tcPr>
          <w:p w14:paraId="3CFCCCCA" w14:textId="77777777" w:rsidR="00656C8C" w:rsidRPr="009A412F" w:rsidRDefault="00656C8C" w:rsidP="00E16D8A">
            <w:pPr>
              <w:spacing w:after="0" w:line="240" w:lineRule="auto"/>
              <w:rPr>
                <w:rFonts w:eastAsia="Times New Roman" w:cs="Calibri"/>
                <w:b/>
                <w:bCs/>
                <w:color w:val="305496"/>
                <w:sz w:val="22"/>
              </w:rPr>
            </w:pPr>
            <w:r w:rsidRPr="009A412F">
              <w:rPr>
                <w:rFonts w:eastAsia="Times New Roman" w:cs="Calibri"/>
                <w:b/>
                <w:bCs/>
                <w:color w:val="305496"/>
                <w:sz w:val="22"/>
              </w:rPr>
              <w:t>New York</w:t>
            </w:r>
          </w:p>
        </w:tc>
        <w:tc>
          <w:tcPr>
            <w:tcW w:w="2016" w:type="dxa"/>
            <w:tcBorders>
              <w:top w:val="single" w:sz="4" w:space="0" w:color="4472C4"/>
              <w:left w:val="nil"/>
              <w:bottom w:val="single" w:sz="4" w:space="0" w:color="4472C4"/>
              <w:right w:val="nil"/>
            </w:tcBorders>
            <w:shd w:val="clear" w:color="auto" w:fill="auto"/>
            <w:noWrap/>
            <w:vAlign w:val="bottom"/>
            <w:hideMark/>
          </w:tcPr>
          <w:p w14:paraId="494929C3" w14:textId="77777777" w:rsidR="00656C8C" w:rsidRPr="009A412F" w:rsidRDefault="00656C8C" w:rsidP="00E16D8A">
            <w:pPr>
              <w:spacing w:after="0" w:line="240" w:lineRule="auto"/>
              <w:rPr>
                <w:rFonts w:eastAsia="Times New Roman" w:cs="Calibri"/>
                <w:b/>
                <w:bCs/>
                <w:color w:val="305496"/>
                <w:sz w:val="22"/>
              </w:rPr>
            </w:pPr>
            <w:r w:rsidRPr="009A412F">
              <w:rPr>
                <w:rFonts w:eastAsia="Times New Roman" w:cs="Calibri"/>
                <w:b/>
                <w:bCs/>
                <w:color w:val="305496"/>
                <w:sz w:val="22"/>
              </w:rPr>
              <w:t>Massachusetts</w:t>
            </w:r>
          </w:p>
        </w:tc>
        <w:tc>
          <w:tcPr>
            <w:tcW w:w="2016" w:type="dxa"/>
            <w:tcBorders>
              <w:top w:val="single" w:sz="4" w:space="0" w:color="4472C4"/>
              <w:left w:val="nil"/>
              <w:bottom w:val="single" w:sz="4" w:space="0" w:color="4472C4"/>
              <w:right w:val="nil"/>
            </w:tcBorders>
            <w:shd w:val="clear" w:color="auto" w:fill="auto"/>
            <w:noWrap/>
            <w:vAlign w:val="bottom"/>
            <w:hideMark/>
          </w:tcPr>
          <w:p w14:paraId="16D40984" w14:textId="77777777" w:rsidR="00656C8C" w:rsidRPr="009A412F" w:rsidRDefault="00656C8C" w:rsidP="00E16D8A">
            <w:pPr>
              <w:spacing w:after="0" w:line="240" w:lineRule="auto"/>
              <w:rPr>
                <w:rFonts w:eastAsia="Times New Roman" w:cs="Calibri"/>
                <w:b/>
                <w:bCs/>
                <w:color w:val="305496"/>
                <w:sz w:val="22"/>
              </w:rPr>
            </w:pPr>
            <w:r w:rsidRPr="009A412F">
              <w:rPr>
                <w:rFonts w:eastAsia="Times New Roman" w:cs="Calibri"/>
                <w:b/>
                <w:bCs/>
                <w:color w:val="305496"/>
                <w:sz w:val="22"/>
              </w:rPr>
              <w:t>California</w:t>
            </w:r>
          </w:p>
        </w:tc>
      </w:tr>
      <w:tr w:rsidR="00273FC6" w:rsidRPr="009A412F" w14:paraId="03748B5A" w14:textId="77777777" w:rsidTr="00273FC6">
        <w:trPr>
          <w:trHeight w:val="2880"/>
          <w:jc w:val="center"/>
        </w:trPr>
        <w:tc>
          <w:tcPr>
            <w:tcW w:w="2016" w:type="dxa"/>
            <w:tcBorders>
              <w:top w:val="nil"/>
              <w:left w:val="nil"/>
              <w:bottom w:val="nil"/>
              <w:right w:val="nil"/>
            </w:tcBorders>
            <w:shd w:val="clear" w:color="D9E1F2" w:fill="D9E1F2"/>
            <w:noWrap/>
            <w:vAlign w:val="bottom"/>
            <w:hideMark/>
          </w:tcPr>
          <w:p w14:paraId="7665EC7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Citation</w:t>
            </w:r>
          </w:p>
        </w:tc>
        <w:tc>
          <w:tcPr>
            <w:tcW w:w="2016" w:type="dxa"/>
            <w:tcBorders>
              <w:top w:val="nil"/>
              <w:left w:val="nil"/>
              <w:bottom w:val="nil"/>
              <w:right w:val="nil"/>
            </w:tcBorders>
            <w:shd w:val="clear" w:color="D9E1F2" w:fill="D9E1F2"/>
            <w:vAlign w:val="bottom"/>
            <w:hideMark/>
          </w:tcPr>
          <w:p w14:paraId="3F2D9242" w14:textId="6A97AC45"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Vermont Greenhouse Gas Inventory and Forecast 1990-2017, Prepared by the Air Quality and Climate Division,</w:t>
            </w:r>
            <w:r w:rsidR="00B36163">
              <w:rPr>
                <w:rFonts w:eastAsia="Times New Roman" w:cs="Calibri"/>
                <w:color w:val="305496"/>
                <w:sz w:val="22"/>
              </w:rPr>
              <w:t xml:space="preserve"> </w:t>
            </w:r>
            <w:r w:rsidRPr="009A412F">
              <w:rPr>
                <w:rFonts w:eastAsia="Times New Roman" w:cs="Calibri"/>
                <w:color w:val="305496"/>
                <w:sz w:val="22"/>
              </w:rPr>
              <w:t>Department of Environmental Conservation, Agency of Natural Resources. May 2021.</w:t>
            </w:r>
          </w:p>
        </w:tc>
        <w:tc>
          <w:tcPr>
            <w:tcW w:w="2016" w:type="dxa"/>
            <w:tcBorders>
              <w:top w:val="nil"/>
              <w:left w:val="nil"/>
              <w:bottom w:val="nil"/>
              <w:right w:val="nil"/>
            </w:tcBorders>
            <w:shd w:val="clear" w:color="D9E1F2" w:fill="D9E1F2"/>
            <w:vAlign w:val="bottom"/>
            <w:hideMark/>
          </w:tcPr>
          <w:p w14:paraId="5250BFB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Inventory of U.S. Greenhouse Gas Emissions and Sinks: 1990-2019.  U.S. Environmental Protection Agency.</w:t>
            </w:r>
          </w:p>
        </w:tc>
        <w:tc>
          <w:tcPr>
            <w:tcW w:w="2016" w:type="dxa"/>
            <w:tcBorders>
              <w:top w:val="nil"/>
              <w:left w:val="nil"/>
              <w:bottom w:val="nil"/>
              <w:right w:val="nil"/>
            </w:tcBorders>
            <w:shd w:val="clear" w:color="D9E1F2" w:fill="D9E1F2"/>
            <w:vAlign w:val="bottom"/>
            <w:hideMark/>
          </w:tcPr>
          <w:p w14:paraId="7ED7FC9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New York State Greenhouse Gas Inventory: 1990-2016, Final Report July 2019.  NYSERDA and NY DEC.</w:t>
            </w:r>
          </w:p>
        </w:tc>
        <w:tc>
          <w:tcPr>
            <w:tcW w:w="2016" w:type="dxa"/>
            <w:tcBorders>
              <w:top w:val="nil"/>
              <w:left w:val="nil"/>
              <w:bottom w:val="nil"/>
              <w:right w:val="nil"/>
            </w:tcBorders>
            <w:shd w:val="clear" w:color="D9E1F2" w:fill="D9E1F2"/>
            <w:vAlign w:val="bottom"/>
            <w:hideMark/>
          </w:tcPr>
          <w:p w14:paraId="3F0110C8" w14:textId="57B8B12D"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Statewide Greenhouse Gas Emissions Level: 1990 Baseline Update. May 2021. Massachusetts Department of Environmental Protection.</w:t>
            </w:r>
          </w:p>
        </w:tc>
        <w:tc>
          <w:tcPr>
            <w:tcW w:w="2016" w:type="dxa"/>
            <w:tcBorders>
              <w:top w:val="nil"/>
              <w:left w:val="nil"/>
              <w:bottom w:val="nil"/>
              <w:right w:val="nil"/>
            </w:tcBorders>
            <w:shd w:val="clear" w:color="D9E1F2" w:fill="D9E1F2"/>
            <w:vAlign w:val="bottom"/>
            <w:hideMark/>
          </w:tcPr>
          <w:p w14:paraId="26ED94D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California Greenhouse Gas Emissions 2000 to 2018: Trends and Other Indicators.  California Air Resources Board.</w:t>
            </w:r>
          </w:p>
        </w:tc>
      </w:tr>
      <w:tr w:rsidR="00656C8C" w:rsidRPr="009A412F" w14:paraId="77B4BF16" w14:textId="77777777" w:rsidTr="00273FC6">
        <w:trPr>
          <w:trHeight w:val="2016"/>
          <w:jc w:val="center"/>
        </w:trPr>
        <w:tc>
          <w:tcPr>
            <w:tcW w:w="2016" w:type="dxa"/>
            <w:tcBorders>
              <w:top w:val="nil"/>
              <w:left w:val="nil"/>
              <w:bottom w:val="nil"/>
              <w:right w:val="nil"/>
            </w:tcBorders>
            <w:shd w:val="clear" w:color="auto" w:fill="auto"/>
            <w:noWrap/>
            <w:vAlign w:val="bottom"/>
            <w:hideMark/>
          </w:tcPr>
          <w:p w14:paraId="29129D7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Global Warming Potentials</w:t>
            </w:r>
          </w:p>
        </w:tc>
        <w:tc>
          <w:tcPr>
            <w:tcW w:w="2016" w:type="dxa"/>
            <w:tcBorders>
              <w:top w:val="nil"/>
              <w:left w:val="nil"/>
              <w:bottom w:val="nil"/>
              <w:right w:val="nil"/>
            </w:tcBorders>
            <w:shd w:val="clear" w:color="auto" w:fill="auto"/>
            <w:vAlign w:val="bottom"/>
            <w:hideMark/>
          </w:tcPr>
          <w:p w14:paraId="4A309B2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IPCC Fourth Assessment Report (AR-4)</w:t>
            </w:r>
          </w:p>
        </w:tc>
        <w:tc>
          <w:tcPr>
            <w:tcW w:w="2016" w:type="dxa"/>
            <w:tcBorders>
              <w:top w:val="nil"/>
              <w:left w:val="nil"/>
              <w:bottom w:val="nil"/>
              <w:right w:val="nil"/>
            </w:tcBorders>
            <w:shd w:val="clear" w:color="auto" w:fill="auto"/>
            <w:vAlign w:val="bottom"/>
            <w:hideMark/>
          </w:tcPr>
          <w:p w14:paraId="45BDF43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IPCC Fourth Assessment Report (AR-4), Table 1-3 compares with AR-5 and Annex 6 has emissions estimates using revised GWPs</w:t>
            </w:r>
          </w:p>
        </w:tc>
        <w:tc>
          <w:tcPr>
            <w:tcW w:w="2016" w:type="dxa"/>
            <w:tcBorders>
              <w:top w:val="nil"/>
              <w:left w:val="nil"/>
              <w:bottom w:val="nil"/>
              <w:right w:val="nil"/>
            </w:tcBorders>
            <w:shd w:val="clear" w:color="auto" w:fill="auto"/>
            <w:vAlign w:val="bottom"/>
            <w:hideMark/>
          </w:tcPr>
          <w:p w14:paraId="234F179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IPCC Fourth Assessment Report (AR-4), See Appendix Table A-2</w:t>
            </w:r>
          </w:p>
        </w:tc>
        <w:tc>
          <w:tcPr>
            <w:tcW w:w="2016" w:type="dxa"/>
            <w:tcBorders>
              <w:top w:val="nil"/>
              <w:left w:val="nil"/>
              <w:bottom w:val="nil"/>
              <w:right w:val="nil"/>
            </w:tcBorders>
            <w:shd w:val="clear" w:color="auto" w:fill="auto"/>
            <w:vAlign w:val="bottom"/>
            <w:hideMark/>
          </w:tcPr>
          <w:p w14:paraId="2C497A8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IPCC Fourth Assessment Report (AR-4)</w:t>
            </w:r>
          </w:p>
        </w:tc>
        <w:tc>
          <w:tcPr>
            <w:tcW w:w="2016" w:type="dxa"/>
            <w:tcBorders>
              <w:top w:val="nil"/>
              <w:left w:val="nil"/>
              <w:bottom w:val="nil"/>
              <w:right w:val="nil"/>
            </w:tcBorders>
            <w:shd w:val="clear" w:color="auto" w:fill="auto"/>
            <w:vAlign w:val="bottom"/>
            <w:hideMark/>
          </w:tcPr>
          <w:p w14:paraId="19EEC2D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IPCC Fourth Assessment Report (AR-4)</w:t>
            </w:r>
          </w:p>
        </w:tc>
      </w:tr>
      <w:tr w:rsidR="00273FC6" w:rsidRPr="009A412F" w14:paraId="2EC93DA5" w14:textId="77777777" w:rsidTr="00273FC6">
        <w:trPr>
          <w:trHeight w:val="2880"/>
          <w:jc w:val="center"/>
        </w:trPr>
        <w:tc>
          <w:tcPr>
            <w:tcW w:w="2016" w:type="dxa"/>
            <w:tcBorders>
              <w:top w:val="nil"/>
              <w:left w:val="nil"/>
              <w:bottom w:val="nil"/>
              <w:right w:val="nil"/>
            </w:tcBorders>
            <w:shd w:val="clear" w:color="D9E1F2" w:fill="D9E1F2"/>
            <w:noWrap/>
            <w:vAlign w:val="bottom"/>
            <w:hideMark/>
          </w:tcPr>
          <w:p w14:paraId="6C13B62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Gases to include in Inventory</w:t>
            </w:r>
          </w:p>
        </w:tc>
        <w:tc>
          <w:tcPr>
            <w:tcW w:w="2016" w:type="dxa"/>
            <w:tcBorders>
              <w:top w:val="nil"/>
              <w:left w:val="nil"/>
              <w:bottom w:val="nil"/>
              <w:right w:val="nil"/>
            </w:tcBorders>
            <w:shd w:val="clear" w:color="D9E1F2" w:fill="D9E1F2"/>
            <w:vAlign w:val="bottom"/>
            <w:hideMark/>
          </w:tcPr>
          <w:p w14:paraId="4B4036CF"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Carbon dioxide (CO2), methane (CH4), nitrous oxide (N2O), hydrofluorocarbons (HFCs), perfluorocarbons (PFCs), sulfur hexafluoride (SF6), and nitrogen trifluoride (NF3)</w:t>
            </w:r>
          </w:p>
        </w:tc>
        <w:tc>
          <w:tcPr>
            <w:tcW w:w="2016" w:type="dxa"/>
            <w:tcBorders>
              <w:top w:val="nil"/>
              <w:left w:val="nil"/>
              <w:bottom w:val="nil"/>
              <w:right w:val="nil"/>
            </w:tcBorders>
            <w:shd w:val="clear" w:color="D9E1F2" w:fill="D9E1F2"/>
            <w:vAlign w:val="bottom"/>
            <w:hideMark/>
          </w:tcPr>
          <w:p w14:paraId="79837D09" w14:textId="24412ACD"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6 major gases with relatively long atmospheric lifetimes and mixing, leading to average concentrations.  More local </w:t>
            </w:r>
            <w:r w:rsidR="00B36163" w:rsidRPr="009A412F">
              <w:rPr>
                <w:rFonts w:eastAsia="Times New Roman" w:cs="Calibri"/>
                <w:color w:val="305496"/>
                <w:sz w:val="22"/>
              </w:rPr>
              <w:t>short-lived</w:t>
            </w:r>
            <w:r w:rsidRPr="009A412F">
              <w:rPr>
                <w:rFonts w:eastAsia="Times New Roman" w:cs="Calibri"/>
                <w:color w:val="305496"/>
                <w:sz w:val="22"/>
              </w:rPr>
              <w:t xml:space="preserve"> gases and background also discussed.  Precursor gases discussed Section 2.3.</w:t>
            </w:r>
          </w:p>
        </w:tc>
        <w:tc>
          <w:tcPr>
            <w:tcW w:w="2016" w:type="dxa"/>
            <w:tcBorders>
              <w:top w:val="nil"/>
              <w:left w:val="nil"/>
              <w:bottom w:val="nil"/>
              <w:right w:val="nil"/>
            </w:tcBorders>
            <w:shd w:val="clear" w:color="D9E1F2" w:fill="D9E1F2"/>
            <w:vAlign w:val="bottom"/>
            <w:hideMark/>
          </w:tcPr>
          <w:p w14:paraId="4460BA4E"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6 major gases - Summary Table S1 includes cross tab by gas and sector</w:t>
            </w:r>
          </w:p>
        </w:tc>
        <w:tc>
          <w:tcPr>
            <w:tcW w:w="2016" w:type="dxa"/>
            <w:tcBorders>
              <w:top w:val="nil"/>
              <w:left w:val="nil"/>
              <w:bottom w:val="nil"/>
              <w:right w:val="nil"/>
            </w:tcBorders>
            <w:shd w:val="clear" w:color="D9E1F2" w:fill="D9E1F2"/>
            <w:vAlign w:val="bottom"/>
            <w:hideMark/>
          </w:tcPr>
          <w:p w14:paraId="4DD81BE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Carbon dioxide (CO2), methane (CH4), nitrous oxide (N2O), hydrofluorocarbons (HFC), perfluorocarbons (PFC), sulfur hexafluoride (SF6), and nitrogen trifluoride (NF3).</w:t>
            </w:r>
          </w:p>
        </w:tc>
        <w:tc>
          <w:tcPr>
            <w:tcW w:w="2016" w:type="dxa"/>
            <w:tcBorders>
              <w:top w:val="nil"/>
              <w:left w:val="nil"/>
              <w:bottom w:val="nil"/>
              <w:right w:val="nil"/>
            </w:tcBorders>
            <w:shd w:val="clear" w:color="D9E1F2" w:fill="D9E1F2"/>
            <w:vAlign w:val="bottom"/>
            <w:hideMark/>
          </w:tcPr>
          <w:p w14:paraId="76B23C8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6 major gases, ODS not included in inventory, presented as supplemental Figure 17.a.</w:t>
            </w:r>
          </w:p>
        </w:tc>
      </w:tr>
      <w:tr w:rsidR="00656C8C" w:rsidRPr="009A412F" w14:paraId="49B63CC6" w14:textId="77777777" w:rsidTr="00273FC6">
        <w:trPr>
          <w:trHeight w:val="1440"/>
          <w:jc w:val="center"/>
        </w:trPr>
        <w:tc>
          <w:tcPr>
            <w:tcW w:w="2016" w:type="dxa"/>
            <w:tcBorders>
              <w:top w:val="nil"/>
              <w:left w:val="nil"/>
              <w:bottom w:val="nil"/>
              <w:right w:val="nil"/>
            </w:tcBorders>
            <w:shd w:val="clear" w:color="auto" w:fill="auto"/>
            <w:noWrap/>
            <w:vAlign w:val="bottom"/>
            <w:hideMark/>
          </w:tcPr>
          <w:p w14:paraId="794EAFB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Period for GWPs. </w:t>
            </w:r>
          </w:p>
        </w:tc>
        <w:tc>
          <w:tcPr>
            <w:tcW w:w="2016" w:type="dxa"/>
            <w:tcBorders>
              <w:top w:val="nil"/>
              <w:left w:val="nil"/>
              <w:bottom w:val="nil"/>
              <w:right w:val="nil"/>
            </w:tcBorders>
            <w:shd w:val="clear" w:color="auto" w:fill="auto"/>
            <w:vAlign w:val="bottom"/>
            <w:hideMark/>
          </w:tcPr>
          <w:p w14:paraId="5AB8ECD4"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100 years</w:t>
            </w:r>
          </w:p>
        </w:tc>
        <w:tc>
          <w:tcPr>
            <w:tcW w:w="2016" w:type="dxa"/>
            <w:tcBorders>
              <w:top w:val="nil"/>
              <w:left w:val="nil"/>
              <w:bottom w:val="nil"/>
              <w:right w:val="nil"/>
            </w:tcBorders>
            <w:shd w:val="clear" w:color="auto" w:fill="auto"/>
            <w:vAlign w:val="bottom"/>
            <w:hideMark/>
          </w:tcPr>
          <w:p w14:paraId="036274EF"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100 years</w:t>
            </w:r>
          </w:p>
        </w:tc>
        <w:tc>
          <w:tcPr>
            <w:tcW w:w="2016" w:type="dxa"/>
            <w:tcBorders>
              <w:top w:val="nil"/>
              <w:left w:val="nil"/>
              <w:bottom w:val="nil"/>
              <w:right w:val="nil"/>
            </w:tcBorders>
            <w:shd w:val="clear" w:color="auto" w:fill="auto"/>
            <w:vAlign w:val="bottom"/>
            <w:hideMark/>
          </w:tcPr>
          <w:p w14:paraId="732CA839" w14:textId="567AC423"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100 Yr. - includes </w:t>
            </w:r>
            <w:r w:rsidR="00B36163" w:rsidRPr="009A412F">
              <w:rPr>
                <w:rFonts w:eastAsia="Times New Roman" w:cs="Calibri"/>
                <w:color w:val="305496"/>
                <w:sz w:val="22"/>
              </w:rPr>
              <w:t>supplemental information</w:t>
            </w:r>
            <w:r w:rsidRPr="009A412F">
              <w:rPr>
                <w:rFonts w:eastAsia="Times New Roman" w:cs="Calibri"/>
                <w:color w:val="305496"/>
                <w:sz w:val="22"/>
              </w:rPr>
              <w:t xml:space="preserve"> on increase if Methane is 20 year. </w:t>
            </w:r>
          </w:p>
        </w:tc>
        <w:tc>
          <w:tcPr>
            <w:tcW w:w="2016" w:type="dxa"/>
            <w:tcBorders>
              <w:top w:val="nil"/>
              <w:left w:val="nil"/>
              <w:bottom w:val="nil"/>
              <w:right w:val="nil"/>
            </w:tcBorders>
            <w:shd w:val="clear" w:color="auto" w:fill="auto"/>
            <w:vAlign w:val="bottom"/>
            <w:hideMark/>
          </w:tcPr>
          <w:p w14:paraId="133E83C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100 Yr. Spreadsheet in Appendix C allows users to toggle between certain 100-year and 20-year GWPs</w:t>
            </w:r>
          </w:p>
        </w:tc>
        <w:tc>
          <w:tcPr>
            <w:tcW w:w="2016" w:type="dxa"/>
            <w:tcBorders>
              <w:top w:val="nil"/>
              <w:left w:val="nil"/>
              <w:bottom w:val="nil"/>
              <w:right w:val="nil"/>
            </w:tcBorders>
            <w:shd w:val="clear" w:color="auto" w:fill="auto"/>
            <w:vAlign w:val="bottom"/>
            <w:hideMark/>
          </w:tcPr>
          <w:p w14:paraId="60522083" w14:textId="657F33B4"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100 Yr. for Inventory. SLCP report for uses </w:t>
            </w:r>
            <w:r w:rsidR="00B36163" w:rsidRPr="009A412F">
              <w:rPr>
                <w:rFonts w:eastAsia="Times New Roman" w:cs="Calibri"/>
                <w:color w:val="305496"/>
                <w:sz w:val="22"/>
              </w:rPr>
              <w:t>20-year</w:t>
            </w:r>
            <w:r w:rsidRPr="009A412F">
              <w:rPr>
                <w:rFonts w:eastAsia="Times New Roman" w:cs="Calibri"/>
                <w:color w:val="305496"/>
                <w:sz w:val="22"/>
              </w:rPr>
              <w:t xml:space="preserve"> period for CH4, BC, HFCs informative.</w:t>
            </w:r>
          </w:p>
        </w:tc>
      </w:tr>
      <w:tr w:rsidR="00273FC6" w:rsidRPr="009A412F" w14:paraId="7824F526" w14:textId="77777777" w:rsidTr="00273FC6">
        <w:trPr>
          <w:trHeight w:val="3288"/>
          <w:jc w:val="center"/>
        </w:trPr>
        <w:tc>
          <w:tcPr>
            <w:tcW w:w="2016" w:type="dxa"/>
            <w:tcBorders>
              <w:top w:val="nil"/>
              <w:left w:val="nil"/>
              <w:bottom w:val="nil"/>
              <w:right w:val="nil"/>
            </w:tcBorders>
            <w:shd w:val="clear" w:color="D9E1F2" w:fill="D9E1F2"/>
            <w:noWrap/>
            <w:vAlign w:val="bottom"/>
            <w:hideMark/>
          </w:tcPr>
          <w:p w14:paraId="6F46431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Sectors</w:t>
            </w:r>
          </w:p>
        </w:tc>
        <w:tc>
          <w:tcPr>
            <w:tcW w:w="2016" w:type="dxa"/>
            <w:tcBorders>
              <w:top w:val="nil"/>
              <w:left w:val="nil"/>
              <w:bottom w:val="nil"/>
              <w:right w:val="nil"/>
            </w:tcBorders>
            <w:shd w:val="clear" w:color="D9E1F2" w:fill="D9E1F2"/>
            <w:vAlign w:val="bottom"/>
            <w:hideMark/>
          </w:tcPr>
          <w:p w14:paraId="75885D9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Seven Sectors, Transportation mobile sources, Residential, Commercial, Industrial (Fuel), Industrial (Process),  Electricity Consumption, Waste, Agriculture, Fossil Fuel Industry</w:t>
            </w:r>
          </w:p>
        </w:tc>
        <w:tc>
          <w:tcPr>
            <w:tcW w:w="2016" w:type="dxa"/>
            <w:tcBorders>
              <w:top w:val="nil"/>
              <w:left w:val="nil"/>
              <w:bottom w:val="nil"/>
              <w:right w:val="nil"/>
            </w:tcBorders>
            <w:shd w:val="clear" w:color="D9E1F2" w:fill="D9E1F2"/>
            <w:vAlign w:val="bottom"/>
            <w:hideMark/>
          </w:tcPr>
          <w:p w14:paraId="0B7B1F2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5 IPCC defined Sectors Table 1-8.  Section 2 presents emissions by economic sector - Box 2.1 for methodology.  Figure 2-19 allocates electricity to economic sector.</w:t>
            </w:r>
          </w:p>
        </w:tc>
        <w:tc>
          <w:tcPr>
            <w:tcW w:w="2016" w:type="dxa"/>
            <w:tcBorders>
              <w:top w:val="nil"/>
              <w:left w:val="nil"/>
              <w:bottom w:val="nil"/>
              <w:right w:val="nil"/>
            </w:tcBorders>
            <w:shd w:val="clear" w:color="D9E1F2" w:fill="D9E1F2"/>
            <w:vAlign w:val="bottom"/>
            <w:hideMark/>
          </w:tcPr>
          <w:p w14:paraId="0D66148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Follows IPCC sector guidelines</w:t>
            </w:r>
          </w:p>
        </w:tc>
        <w:tc>
          <w:tcPr>
            <w:tcW w:w="2016" w:type="dxa"/>
            <w:tcBorders>
              <w:top w:val="nil"/>
              <w:left w:val="nil"/>
              <w:bottom w:val="nil"/>
              <w:right w:val="nil"/>
            </w:tcBorders>
            <w:shd w:val="clear" w:color="D9E1F2" w:fill="D9E1F2"/>
            <w:vAlign w:val="bottom"/>
            <w:hideMark/>
          </w:tcPr>
          <w:p w14:paraId="202E22D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Transportation, Electricity Consumption, Residential, Commercial, Industrial (Fuel), Industrial (Process), Waste, Agriculture, Natural Gas Systems</w:t>
            </w:r>
          </w:p>
        </w:tc>
        <w:tc>
          <w:tcPr>
            <w:tcW w:w="2016" w:type="dxa"/>
            <w:tcBorders>
              <w:top w:val="nil"/>
              <w:left w:val="nil"/>
              <w:bottom w:val="nil"/>
              <w:right w:val="nil"/>
            </w:tcBorders>
            <w:shd w:val="clear" w:color="D9E1F2" w:fill="D9E1F2"/>
            <w:vAlign w:val="bottom"/>
            <w:hideMark/>
          </w:tcPr>
          <w:p w14:paraId="24FC250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Categorization based on Scoping for Study for Assembly Bill (AB 32), by Economic Sector and IPCC categories.</w:t>
            </w:r>
          </w:p>
        </w:tc>
      </w:tr>
      <w:tr w:rsidR="00656C8C" w:rsidRPr="009A412F" w14:paraId="01174B2B" w14:textId="77777777" w:rsidTr="00273FC6">
        <w:trPr>
          <w:trHeight w:val="288"/>
          <w:jc w:val="center"/>
        </w:trPr>
        <w:tc>
          <w:tcPr>
            <w:tcW w:w="2016" w:type="dxa"/>
            <w:tcBorders>
              <w:top w:val="nil"/>
              <w:left w:val="nil"/>
              <w:bottom w:val="nil"/>
              <w:right w:val="nil"/>
            </w:tcBorders>
            <w:shd w:val="clear" w:color="auto" w:fill="auto"/>
            <w:noWrap/>
            <w:vAlign w:val="bottom"/>
            <w:hideMark/>
          </w:tcPr>
          <w:p w14:paraId="3CDDA5D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Key Categories</w:t>
            </w:r>
          </w:p>
        </w:tc>
        <w:tc>
          <w:tcPr>
            <w:tcW w:w="2016" w:type="dxa"/>
            <w:tcBorders>
              <w:top w:val="nil"/>
              <w:left w:val="nil"/>
              <w:bottom w:val="nil"/>
              <w:right w:val="nil"/>
            </w:tcBorders>
            <w:shd w:val="clear" w:color="auto" w:fill="auto"/>
            <w:vAlign w:val="bottom"/>
            <w:hideMark/>
          </w:tcPr>
          <w:p w14:paraId="1E2F3C3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Recommendation for VT</w:t>
            </w:r>
          </w:p>
        </w:tc>
        <w:tc>
          <w:tcPr>
            <w:tcW w:w="2016" w:type="dxa"/>
            <w:tcBorders>
              <w:top w:val="nil"/>
              <w:left w:val="nil"/>
              <w:bottom w:val="nil"/>
              <w:right w:val="nil"/>
            </w:tcBorders>
            <w:shd w:val="clear" w:color="auto" w:fill="auto"/>
            <w:vAlign w:val="bottom"/>
            <w:hideMark/>
          </w:tcPr>
          <w:p w14:paraId="1526A69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Table 1-4 .</w:t>
            </w:r>
          </w:p>
        </w:tc>
        <w:tc>
          <w:tcPr>
            <w:tcW w:w="2016" w:type="dxa"/>
            <w:tcBorders>
              <w:top w:val="nil"/>
              <w:left w:val="nil"/>
              <w:bottom w:val="nil"/>
              <w:right w:val="nil"/>
            </w:tcBorders>
            <w:shd w:val="clear" w:color="auto" w:fill="auto"/>
            <w:vAlign w:val="bottom"/>
            <w:hideMark/>
          </w:tcPr>
          <w:p w14:paraId="06D090D9"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auto" w:fill="auto"/>
            <w:vAlign w:val="bottom"/>
            <w:hideMark/>
          </w:tcPr>
          <w:p w14:paraId="0A518098"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calculated</w:t>
            </w:r>
          </w:p>
        </w:tc>
        <w:tc>
          <w:tcPr>
            <w:tcW w:w="2016" w:type="dxa"/>
            <w:tcBorders>
              <w:top w:val="nil"/>
              <w:left w:val="nil"/>
              <w:bottom w:val="nil"/>
              <w:right w:val="nil"/>
            </w:tcBorders>
            <w:shd w:val="clear" w:color="auto" w:fill="auto"/>
            <w:vAlign w:val="bottom"/>
            <w:hideMark/>
          </w:tcPr>
          <w:p w14:paraId="73BEFDB0" w14:textId="77777777" w:rsidR="00656C8C" w:rsidRPr="009A412F" w:rsidRDefault="00656C8C" w:rsidP="00E16D8A">
            <w:pPr>
              <w:spacing w:after="0" w:line="240" w:lineRule="auto"/>
              <w:rPr>
                <w:rFonts w:eastAsia="Times New Roman" w:cs="Calibri"/>
                <w:color w:val="305496"/>
                <w:sz w:val="22"/>
              </w:rPr>
            </w:pPr>
          </w:p>
        </w:tc>
      </w:tr>
      <w:tr w:rsidR="00273FC6" w:rsidRPr="009A412F" w14:paraId="53FD956B" w14:textId="77777777" w:rsidTr="00273FC6">
        <w:trPr>
          <w:trHeight w:val="3456"/>
          <w:jc w:val="center"/>
        </w:trPr>
        <w:tc>
          <w:tcPr>
            <w:tcW w:w="2016" w:type="dxa"/>
            <w:tcBorders>
              <w:top w:val="nil"/>
              <w:left w:val="nil"/>
              <w:bottom w:val="nil"/>
              <w:right w:val="nil"/>
            </w:tcBorders>
            <w:shd w:val="clear" w:color="D9E1F2" w:fill="D9E1F2"/>
            <w:noWrap/>
            <w:vAlign w:val="bottom"/>
            <w:hideMark/>
          </w:tcPr>
          <w:p w14:paraId="75AB5868"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Trend Analysis</w:t>
            </w:r>
          </w:p>
        </w:tc>
        <w:tc>
          <w:tcPr>
            <w:tcW w:w="2016" w:type="dxa"/>
            <w:tcBorders>
              <w:top w:val="nil"/>
              <w:left w:val="nil"/>
              <w:bottom w:val="nil"/>
              <w:right w:val="nil"/>
            </w:tcBorders>
            <w:shd w:val="clear" w:color="D9E1F2" w:fill="D9E1F2"/>
            <w:vAlign w:val="bottom"/>
            <w:hideMark/>
          </w:tcPr>
          <w:p w14:paraId="496B78EE"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Recommendation for VT</w:t>
            </w:r>
          </w:p>
        </w:tc>
        <w:tc>
          <w:tcPr>
            <w:tcW w:w="2016" w:type="dxa"/>
            <w:tcBorders>
              <w:top w:val="nil"/>
              <w:left w:val="nil"/>
              <w:bottom w:val="nil"/>
              <w:right w:val="nil"/>
            </w:tcBorders>
            <w:shd w:val="clear" w:color="D9E1F2" w:fill="D9E1F2"/>
            <w:vAlign w:val="bottom"/>
            <w:hideMark/>
          </w:tcPr>
          <w:p w14:paraId="3B0B1E19" w14:textId="5FB13F5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Table 1-4 includes level and trend analyses using two approaches (approach 2 includes </w:t>
            </w:r>
            <w:r w:rsidR="00EE0C6A" w:rsidRPr="009A412F">
              <w:rPr>
                <w:rFonts w:eastAsia="Times New Roman" w:cs="Calibri"/>
                <w:color w:val="305496"/>
                <w:sz w:val="22"/>
              </w:rPr>
              <w:t>stochastic</w:t>
            </w:r>
            <w:r w:rsidRPr="009A412F">
              <w:rPr>
                <w:rFonts w:eastAsia="Times New Roman" w:cs="Calibri"/>
                <w:color w:val="305496"/>
                <w:sz w:val="22"/>
              </w:rPr>
              <w:t xml:space="preserve"> uncertainty analysis) and with and without consideration of LULUCF sector.  Table 1-5 includes estimate with uncertainty by gas.</w:t>
            </w:r>
          </w:p>
        </w:tc>
        <w:tc>
          <w:tcPr>
            <w:tcW w:w="2016" w:type="dxa"/>
            <w:tcBorders>
              <w:top w:val="nil"/>
              <w:left w:val="nil"/>
              <w:bottom w:val="nil"/>
              <w:right w:val="nil"/>
            </w:tcBorders>
            <w:shd w:val="clear" w:color="D9E1F2" w:fill="D9E1F2"/>
            <w:vAlign w:val="bottom"/>
            <w:hideMark/>
          </w:tcPr>
          <w:p w14:paraId="348E848B" w14:textId="4E516222"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Figure S-7. Total and by sector every 5 years from 1990-2016.  Notes increase in ODS substitutes contribution to non-combustion from 0% to 25% from 1990 </w:t>
            </w:r>
            <w:r w:rsidR="00EE0C6A" w:rsidRPr="009A412F">
              <w:rPr>
                <w:rFonts w:eastAsia="Times New Roman" w:cs="Calibri"/>
                <w:color w:val="305496"/>
                <w:sz w:val="22"/>
              </w:rPr>
              <w:t>to</w:t>
            </w:r>
            <w:r w:rsidRPr="009A412F">
              <w:rPr>
                <w:rFonts w:eastAsia="Times New Roman" w:cs="Calibri"/>
                <w:color w:val="305496"/>
                <w:sz w:val="22"/>
              </w:rPr>
              <w:t xml:space="preserve"> 2016. Electric sector natural gas increase from 19% in 1990 to 79% in 2016.</w:t>
            </w:r>
          </w:p>
        </w:tc>
        <w:tc>
          <w:tcPr>
            <w:tcW w:w="2016" w:type="dxa"/>
            <w:tcBorders>
              <w:top w:val="nil"/>
              <w:left w:val="nil"/>
              <w:bottom w:val="nil"/>
              <w:right w:val="nil"/>
            </w:tcBorders>
            <w:shd w:val="clear" w:color="D9E1F2" w:fill="D9E1F2"/>
            <w:vAlign w:val="bottom"/>
            <w:hideMark/>
          </w:tcPr>
          <w:p w14:paraId="5A7F8BB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calculated</w:t>
            </w:r>
          </w:p>
        </w:tc>
        <w:tc>
          <w:tcPr>
            <w:tcW w:w="2016" w:type="dxa"/>
            <w:tcBorders>
              <w:top w:val="nil"/>
              <w:left w:val="nil"/>
              <w:bottom w:val="nil"/>
              <w:right w:val="nil"/>
            </w:tcBorders>
            <w:shd w:val="clear" w:color="D9E1F2" w:fill="D9E1F2"/>
            <w:vAlign w:val="bottom"/>
            <w:hideMark/>
          </w:tcPr>
          <w:p w14:paraId="6A1F75F8"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By sector and category.  By gases in some cases.</w:t>
            </w:r>
          </w:p>
        </w:tc>
      </w:tr>
      <w:tr w:rsidR="00656C8C" w:rsidRPr="009A412F" w14:paraId="39BA7118" w14:textId="77777777" w:rsidTr="00273FC6">
        <w:trPr>
          <w:trHeight w:val="981"/>
          <w:jc w:val="center"/>
        </w:trPr>
        <w:tc>
          <w:tcPr>
            <w:tcW w:w="2016" w:type="dxa"/>
            <w:tcBorders>
              <w:top w:val="nil"/>
              <w:left w:val="nil"/>
              <w:bottom w:val="nil"/>
              <w:right w:val="nil"/>
            </w:tcBorders>
            <w:shd w:val="clear" w:color="auto" w:fill="auto"/>
            <w:noWrap/>
            <w:vAlign w:val="bottom"/>
            <w:hideMark/>
          </w:tcPr>
          <w:p w14:paraId="4259FA0B"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Treatment of Biogenic CO2</w:t>
            </w:r>
          </w:p>
        </w:tc>
        <w:tc>
          <w:tcPr>
            <w:tcW w:w="2016" w:type="dxa"/>
            <w:tcBorders>
              <w:top w:val="nil"/>
              <w:left w:val="nil"/>
              <w:bottom w:val="nil"/>
              <w:right w:val="nil"/>
            </w:tcBorders>
            <w:shd w:val="clear" w:color="auto" w:fill="auto"/>
            <w:vAlign w:val="bottom"/>
            <w:hideMark/>
          </w:tcPr>
          <w:p w14:paraId="10DA5F7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Supplemental information</w:t>
            </w:r>
          </w:p>
        </w:tc>
        <w:tc>
          <w:tcPr>
            <w:tcW w:w="2016" w:type="dxa"/>
            <w:tcBorders>
              <w:top w:val="nil"/>
              <w:left w:val="nil"/>
              <w:bottom w:val="nil"/>
              <w:right w:val="nil"/>
            </w:tcBorders>
            <w:shd w:val="clear" w:color="auto" w:fill="auto"/>
            <w:vAlign w:val="bottom"/>
            <w:hideMark/>
          </w:tcPr>
          <w:p w14:paraId="248D78E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CO2 emissions from wood biomass and biofuel consumption are not included specifically in summing energy sector totals. However, they are presented here for informational purposes and to provide detail on wood biomass and biofuels consumption</w:t>
            </w:r>
          </w:p>
        </w:tc>
        <w:tc>
          <w:tcPr>
            <w:tcW w:w="2016" w:type="dxa"/>
            <w:tcBorders>
              <w:top w:val="nil"/>
              <w:left w:val="nil"/>
              <w:bottom w:val="nil"/>
              <w:right w:val="nil"/>
            </w:tcBorders>
            <w:shd w:val="clear" w:color="auto" w:fill="auto"/>
            <w:vAlign w:val="bottom"/>
            <w:hideMark/>
          </w:tcPr>
          <w:p w14:paraId="626313FF"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Follows EPA inventory guidelines and biogenic fuels treated as carbon neutral. CH4 and N20 estimated. Future inventories may include information on carbon stocks as well as biomass combustion to inform policy (RCI p.9).</w:t>
            </w:r>
          </w:p>
        </w:tc>
        <w:tc>
          <w:tcPr>
            <w:tcW w:w="2016" w:type="dxa"/>
            <w:tcBorders>
              <w:top w:val="nil"/>
              <w:left w:val="nil"/>
              <w:bottom w:val="nil"/>
              <w:right w:val="nil"/>
            </w:tcBorders>
            <w:shd w:val="clear" w:color="auto" w:fill="auto"/>
            <w:vAlign w:val="bottom"/>
            <w:hideMark/>
          </w:tcPr>
          <w:p w14:paraId="0E0309B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Uses the convention for biogenic sources adopted by the United Nations Framework Convention on Climate Change (UNFCCC) and others, which report biogenic CO2 emissions separately from</w:t>
            </w:r>
            <w:r w:rsidRPr="009A412F">
              <w:rPr>
                <w:rFonts w:eastAsia="Times New Roman" w:cs="Calibri"/>
                <w:color w:val="305496"/>
                <w:sz w:val="22"/>
              </w:rPr>
              <w:br/>
              <w:t>other GHG emissions.</w:t>
            </w:r>
          </w:p>
        </w:tc>
        <w:tc>
          <w:tcPr>
            <w:tcW w:w="2016" w:type="dxa"/>
            <w:tcBorders>
              <w:top w:val="nil"/>
              <w:left w:val="nil"/>
              <w:bottom w:val="nil"/>
              <w:right w:val="nil"/>
            </w:tcBorders>
            <w:shd w:val="clear" w:color="auto" w:fill="auto"/>
            <w:vAlign w:val="bottom"/>
            <w:hideMark/>
          </w:tcPr>
          <w:p w14:paraId="2597559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Excluded in combustion and electric generation.  Supplemental information provided. </w:t>
            </w:r>
          </w:p>
        </w:tc>
      </w:tr>
      <w:tr w:rsidR="00273FC6" w:rsidRPr="009A412F" w14:paraId="39E2B2EC" w14:textId="77777777" w:rsidTr="00273FC6">
        <w:trPr>
          <w:trHeight w:val="2016"/>
          <w:jc w:val="center"/>
        </w:trPr>
        <w:tc>
          <w:tcPr>
            <w:tcW w:w="2016" w:type="dxa"/>
            <w:tcBorders>
              <w:top w:val="nil"/>
              <w:left w:val="nil"/>
              <w:bottom w:val="nil"/>
              <w:right w:val="nil"/>
            </w:tcBorders>
            <w:shd w:val="clear" w:color="D9E1F2" w:fill="D9E1F2"/>
            <w:noWrap/>
            <w:vAlign w:val="bottom"/>
            <w:hideMark/>
          </w:tcPr>
          <w:p w14:paraId="4091824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Electricity Direct/Indirect</w:t>
            </w:r>
          </w:p>
        </w:tc>
        <w:tc>
          <w:tcPr>
            <w:tcW w:w="2016" w:type="dxa"/>
            <w:tcBorders>
              <w:top w:val="nil"/>
              <w:left w:val="nil"/>
              <w:bottom w:val="nil"/>
              <w:right w:val="nil"/>
            </w:tcBorders>
            <w:shd w:val="clear" w:color="D9E1F2" w:fill="D9E1F2"/>
            <w:vAlign w:val="bottom"/>
            <w:hideMark/>
          </w:tcPr>
          <w:p w14:paraId="293EDDF8"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Consumption based, so accounts for indirect emissions from generation out of state.</w:t>
            </w:r>
          </w:p>
        </w:tc>
        <w:tc>
          <w:tcPr>
            <w:tcW w:w="2016" w:type="dxa"/>
            <w:tcBorders>
              <w:top w:val="nil"/>
              <w:left w:val="nil"/>
              <w:bottom w:val="nil"/>
              <w:right w:val="nil"/>
            </w:tcBorders>
            <w:shd w:val="clear" w:color="D9E1F2" w:fill="D9E1F2"/>
            <w:vAlign w:val="bottom"/>
            <w:hideMark/>
          </w:tcPr>
          <w:p w14:paraId="6BD62B3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clear on how net electricity imports/exports accounted for</w:t>
            </w:r>
          </w:p>
        </w:tc>
        <w:tc>
          <w:tcPr>
            <w:tcW w:w="2016" w:type="dxa"/>
            <w:tcBorders>
              <w:top w:val="nil"/>
              <w:left w:val="nil"/>
              <w:bottom w:val="nil"/>
              <w:right w:val="nil"/>
            </w:tcBorders>
            <w:shd w:val="clear" w:color="D9E1F2" w:fill="D9E1F2"/>
            <w:vAlign w:val="bottom"/>
            <w:hideMark/>
          </w:tcPr>
          <w:p w14:paraId="1244B8B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Includes estimates including and excluding net imports of electricity.  In 2016 net imports use NYS Generation Attribute System for net imports</w:t>
            </w:r>
          </w:p>
        </w:tc>
        <w:tc>
          <w:tcPr>
            <w:tcW w:w="2016" w:type="dxa"/>
            <w:tcBorders>
              <w:top w:val="nil"/>
              <w:left w:val="nil"/>
              <w:bottom w:val="nil"/>
              <w:right w:val="nil"/>
            </w:tcBorders>
            <w:shd w:val="clear" w:color="D9E1F2" w:fill="D9E1F2"/>
            <w:vAlign w:val="bottom"/>
            <w:hideMark/>
          </w:tcPr>
          <w:p w14:paraId="716E44B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Includes emissions associated with electricity generated within MA and out-of-state. Takes a regional approach?</w:t>
            </w:r>
          </w:p>
        </w:tc>
        <w:tc>
          <w:tcPr>
            <w:tcW w:w="2016" w:type="dxa"/>
            <w:tcBorders>
              <w:top w:val="nil"/>
              <w:left w:val="nil"/>
              <w:bottom w:val="nil"/>
              <w:right w:val="nil"/>
            </w:tcBorders>
            <w:shd w:val="clear" w:color="D9E1F2" w:fill="D9E1F2"/>
            <w:vAlign w:val="bottom"/>
            <w:hideMark/>
          </w:tcPr>
          <w:p w14:paraId="2E4F790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In state generation and emissions from imported electricity. </w:t>
            </w:r>
          </w:p>
        </w:tc>
      </w:tr>
      <w:tr w:rsidR="00656C8C" w:rsidRPr="009A412F" w14:paraId="293467B6" w14:textId="77777777" w:rsidTr="00273FC6">
        <w:trPr>
          <w:trHeight w:val="1440"/>
          <w:jc w:val="center"/>
        </w:trPr>
        <w:tc>
          <w:tcPr>
            <w:tcW w:w="2016" w:type="dxa"/>
            <w:tcBorders>
              <w:top w:val="nil"/>
              <w:left w:val="nil"/>
              <w:bottom w:val="nil"/>
              <w:right w:val="nil"/>
            </w:tcBorders>
            <w:shd w:val="clear" w:color="auto" w:fill="auto"/>
            <w:noWrap/>
            <w:vAlign w:val="bottom"/>
            <w:hideMark/>
          </w:tcPr>
          <w:p w14:paraId="48F6D61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Large Hydro</w:t>
            </w:r>
          </w:p>
        </w:tc>
        <w:tc>
          <w:tcPr>
            <w:tcW w:w="2016" w:type="dxa"/>
            <w:tcBorders>
              <w:top w:val="nil"/>
              <w:left w:val="nil"/>
              <w:bottom w:val="nil"/>
              <w:right w:val="nil"/>
            </w:tcBorders>
            <w:shd w:val="clear" w:color="auto" w:fill="auto"/>
            <w:vAlign w:val="bottom"/>
            <w:hideMark/>
          </w:tcPr>
          <w:p w14:paraId="4080C9D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Treated as zero emission</w:t>
            </w:r>
          </w:p>
        </w:tc>
        <w:tc>
          <w:tcPr>
            <w:tcW w:w="2016" w:type="dxa"/>
            <w:tcBorders>
              <w:top w:val="nil"/>
              <w:left w:val="nil"/>
              <w:bottom w:val="nil"/>
              <w:right w:val="nil"/>
            </w:tcBorders>
            <w:shd w:val="clear" w:color="auto" w:fill="auto"/>
            <w:vAlign w:val="bottom"/>
            <w:hideMark/>
          </w:tcPr>
          <w:p w14:paraId="27CCE70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Appears to be zero emissions - not discussed</w:t>
            </w:r>
          </w:p>
        </w:tc>
        <w:tc>
          <w:tcPr>
            <w:tcW w:w="2016" w:type="dxa"/>
            <w:tcBorders>
              <w:top w:val="nil"/>
              <w:left w:val="nil"/>
              <w:bottom w:val="nil"/>
              <w:right w:val="nil"/>
            </w:tcBorders>
            <w:shd w:val="clear" w:color="auto" w:fill="auto"/>
            <w:vAlign w:val="bottom"/>
            <w:hideMark/>
          </w:tcPr>
          <w:p w14:paraId="7AC78C7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discussed, but appears to be treated as zero emission</w:t>
            </w:r>
          </w:p>
        </w:tc>
        <w:tc>
          <w:tcPr>
            <w:tcW w:w="2016" w:type="dxa"/>
            <w:tcBorders>
              <w:top w:val="nil"/>
              <w:left w:val="nil"/>
              <w:bottom w:val="nil"/>
              <w:right w:val="nil"/>
            </w:tcBorders>
            <w:shd w:val="clear" w:color="auto" w:fill="auto"/>
            <w:vAlign w:val="bottom"/>
            <w:hideMark/>
          </w:tcPr>
          <w:p w14:paraId="5463E541" w14:textId="67173156" w:rsidR="00656C8C" w:rsidRPr="009A412F" w:rsidRDefault="00C747F3" w:rsidP="00E16D8A">
            <w:pPr>
              <w:spacing w:after="0" w:line="240" w:lineRule="auto"/>
              <w:rPr>
                <w:rFonts w:eastAsia="Times New Roman" w:cs="Calibri"/>
                <w:color w:val="305496"/>
                <w:sz w:val="22"/>
              </w:rPr>
            </w:pPr>
            <w:r w:rsidRPr="00C747F3">
              <w:rPr>
                <w:rFonts w:eastAsia="Times New Roman" w:cs="Calibri"/>
                <w:color w:val="305496"/>
                <w:sz w:val="22"/>
              </w:rPr>
              <w:t>The inventory apportions a percentage of megawatt hours of losses and associated emissions associated with pumped hydro</w:t>
            </w:r>
          </w:p>
        </w:tc>
        <w:tc>
          <w:tcPr>
            <w:tcW w:w="2016" w:type="dxa"/>
            <w:tcBorders>
              <w:top w:val="nil"/>
              <w:left w:val="nil"/>
              <w:bottom w:val="nil"/>
              <w:right w:val="nil"/>
            </w:tcBorders>
            <w:shd w:val="clear" w:color="auto" w:fill="auto"/>
            <w:vAlign w:val="bottom"/>
            <w:hideMark/>
          </w:tcPr>
          <w:p w14:paraId="175EC19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Documentation for Columbia River Hydro 0 CO2 and 0 N2O</w:t>
            </w:r>
          </w:p>
        </w:tc>
      </w:tr>
      <w:tr w:rsidR="00273FC6" w:rsidRPr="009A412F" w14:paraId="14BA1FFB" w14:textId="77777777" w:rsidTr="00273FC6">
        <w:trPr>
          <w:trHeight w:val="1428"/>
          <w:jc w:val="center"/>
        </w:trPr>
        <w:tc>
          <w:tcPr>
            <w:tcW w:w="2016" w:type="dxa"/>
            <w:tcBorders>
              <w:top w:val="nil"/>
              <w:left w:val="nil"/>
              <w:bottom w:val="nil"/>
              <w:right w:val="nil"/>
            </w:tcBorders>
            <w:shd w:val="clear" w:color="D9E1F2" w:fill="D9E1F2"/>
            <w:noWrap/>
            <w:vAlign w:val="bottom"/>
            <w:hideMark/>
          </w:tcPr>
          <w:p w14:paraId="5A7B860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Nuclear</w:t>
            </w:r>
          </w:p>
        </w:tc>
        <w:tc>
          <w:tcPr>
            <w:tcW w:w="2016" w:type="dxa"/>
            <w:tcBorders>
              <w:top w:val="nil"/>
              <w:left w:val="nil"/>
              <w:bottom w:val="nil"/>
              <w:right w:val="nil"/>
            </w:tcBorders>
            <w:shd w:val="clear" w:color="D9E1F2" w:fill="D9E1F2"/>
            <w:vAlign w:val="bottom"/>
            <w:hideMark/>
          </w:tcPr>
          <w:p w14:paraId="4FD0F33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Treated as zero emission</w:t>
            </w:r>
          </w:p>
        </w:tc>
        <w:tc>
          <w:tcPr>
            <w:tcW w:w="2016" w:type="dxa"/>
            <w:tcBorders>
              <w:top w:val="nil"/>
              <w:left w:val="nil"/>
              <w:bottom w:val="nil"/>
              <w:right w:val="nil"/>
            </w:tcBorders>
            <w:shd w:val="clear" w:color="D9E1F2" w:fill="D9E1F2"/>
            <w:vAlign w:val="bottom"/>
            <w:hideMark/>
          </w:tcPr>
          <w:p w14:paraId="1E0F3B7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Appears to be zero emissions - not discussed</w:t>
            </w:r>
          </w:p>
        </w:tc>
        <w:tc>
          <w:tcPr>
            <w:tcW w:w="2016" w:type="dxa"/>
            <w:tcBorders>
              <w:top w:val="nil"/>
              <w:left w:val="nil"/>
              <w:bottom w:val="nil"/>
              <w:right w:val="nil"/>
            </w:tcBorders>
            <w:shd w:val="clear" w:color="D9E1F2" w:fill="D9E1F2"/>
            <w:vAlign w:val="bottom"/>
            <w:hideMark/>
          </w:tcPr>
          <w:p w14:paraId="4968AD0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Treated as zero emission</w:t>
            </w:r>
          </w:p>
        </w:tc>
        <w:tc>
          <w:tcPr>
            <w:tcW w:w="2016" w:type="dxa"/>
            <w:tcBorders>
              <w:top w:val="nil"/>
              <w:left w:val="nil"/>
              <w:bottom w:val="nil"/>
              <w:right w:val="nil"/>
            </w:tcBorders>
            <w:shd w:val="clear" w:color="D9E1F2" w:fill="D9E1F2"/>
            <w:vAlign w:val="bottom"/>
            <w:hideMark/>
          </w:tcPr>
          <w:p w14:paraId="4FC1CD5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mentioned in inventory</w:t>
            </w:r>
          </w:p>
        </w:tc>
        <w:tc>
          <w:tcPr>
            <w:tcW w:w="2016" w:type="dxa"/>
            <w:tcBorders>
              <w:top w:val="nil"/>
              <w:left w:val="nil"/>
              <w:bottom w:val="nil"/>
              <w:right w:val="nil"/>
            </w:tcBorders>
            <w:shd w:val="clear" w:color="D9E1F2" w:fill="D9E1F2"/>
            <w:vAlign w:val="bottom"/>
            <w:hideMark/>
          </w:tcPr>
          <w:p w14:paraId="58F045FF" w14:textId="77777777" w:rsidR="00656C8C" w:rsidRPr="009A412F" w:rsidRDefault="00656C8C" w:rsidP="00E16D8A">
            <w:pPr>
              <w:spacing w:after="0" w:line="240" w:lineRule="auto"/>
              <w:rPr>
                <w:rFonts w:eastAsia="Times New Roman" w:cs="Calibri"/>
                <w:color w:val="305496"/>
                <w:sz w:val="22"/>
              </w:rPr>
            </w:pPr>
          </w:p>
        </w:tc>
      </w:tr>
      <w:tr w:rsidR="00656C8C" w:rsidRPr="009A412F" w14:paraId="67500FF3" w14:textId="77777777" w:rsidTr="00273FC6">
        <w:trPr>
          <w:trHeight w:val="3912"/>
          <w:jc w:val="center"/>
        </w:trPr>
        <w:tc>
          <w:tcPr>
            <w:tcW w:w="2016" w:type="dxa"/>
            <w:tcBorders>
              <w:top w:val="nil"/>
              <w:left w:val="nil"/>
              <w:bottom w:val="nil"/>
              <w:right w:val="nil"/>
            </w:tcBorders>
            <w:shd w:val="clear" w:color="auto" w:fill="auto"/>
            <w:noWrap/>
            <w:vAlign w:val="bottom"/>
            <w:hideMark/>
          </w:tcPr>
          <w:p w14:paraId="43699994"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Blended Fuels </w:t>
            </w:r>
          </w:p>
        </w:tc>
        <w:tc>
          <w:tcPr>
            <w:tcW w:w="2016" w:type="dxa"/>
            <w:tcBorders>
              <w:top w:val="nil"/>
              <w:left w:val="nil"/>
              <w:bottom w:val="nil"/>
              <w:right w:val="nil"/>
            </w:tcBorders>
            <w:shd w:val="clear" w:color="auto" w:fill="auto"/>
            <w:vAlign w:val="bottom"/>
            <w:hideMark/>
          </w:tcPr>
          <w:p w14:paraId="4535A1D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Ethanol and biodiesel are removed from fuel combustion calculations to determine emission from transportation sector. Not mentioned otherwise</w:t>
            </w:r>
          </w:p>
        </w:tc>
        <w:tc>
          <w:tcPr>
            <w:tcW w:w="2016" w:type="dxa"/>
            <w:tcBorders>
              <w:top w:val="nil"/>
              <w:left w:val="nil"/>
              <w:bottom w:val="nil"/>
              <w:right w:val="nil"/>
            </w:tcBorders>
            <w:shd w:val="clear" w:color="auto" w:fill="auto"/>
            <w:vAlign w:val="bottom"/>
            <w:hideMark/>
          </w:tcPr>
          <w:p w14:paraId="358EEEEE"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Section 3.11 on biofuel consumption and Table A-81 in Annex 3.2.  Carbon dioxide emissions from ethanol added to motor gasoline and biodiesel added to diesel fuel are not included specifically in summing energy sector totals. Net carbon fluxes from changes in biogenic carbon reservoirs accounted for in LULUCF, therefore, fuel consumption adjusted to remove ethanol and biodiesel.   </w:t>
            </w:r>
            <w:r w:rsidRPr="009A412F">
              <w:rPr>
                <w:rFonts w:eastAsia="Times New Roman" w:cs="Calibri"/>
                <w:color w:val="305496"/>
                <w:sz w:val="22"/>
              </w:rPr>
              <w:lastRenderedPageBreak/>
              <w:t>Currently emission estimates from biomass and biomass-based fuels included in this Inventory are limited to woody biomass, ethanol, and biodiesel. Biogas, the biogenic components of MSW, and other renewable diesel fuels currently not included. EPA will examine if EIA data allow these to be included in future inventories.</w:t>
            </w:r>
          </w:p>
        </w:tc>
        <w:tc>
          <w:tcPr>
            <w:tcW w:w="2016" w:type="dxa"/>
            <w:tcBorders>
              <w:top w:val="nil"/>
              <w:left w:val="nil"/>
              <w:bottom w:val="nil"/>
              <w:right w:val="nil"/>
            </w:tcBorders>
            <w:shd w:val="clear" w:color="auto" w:fill="auto"/>
            <w:vAlign w:val="bottom"/>
            <w:hideMark/>
          </w:tcPr>
          <w:p w14:paraId="4770E5EB" w14:textId="49D69BB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 xml:space="preserve">Gasoline in NYS contains up to 10% ethanol, no CO2 emissions assigned to </w:t>
            </w:r>
            <w:r w:rsidR="00EE0C6A" w:rsidRPr="009A412F">
              <w:rPr>
                <w:rFonts w:eastAsia="Times New Roman" w:cs="Calibri"/>
                <w:color w:val="305496"/>
                <w:sz w:val="22"/>
              </w:rPr>
              <w:t>ethanol</w:t>
            </w:r>
            <w:r w:rsidRPr="009A412F">
              <w:rPr>
                <w:rFonts w:eastAsia="Times New Roman" w:cs="Calibri"/>
                <w:color w:val="305496"/>
                <w:sz w:val="22"/>
              </w:rPr>
              <w:t xml:space="preserve"> in the inventory per EPA guidance. Biodiesel also zero CO2.</w:t>
            </w:r>
          </w:p>
        </w:tc>
        <w:tc>
          <w:tcPr>
            <w:tcW w:w="2016" w:type="dxa"/>
            <w:tcBorders>
              <w:top w:val="nil"/>
              <w:left w:val="nil"/>
              <w:bottom w:val="nil"/>
              <w:right w:val="nil"/>
            </w:tcBorders>
            <w:shd w:val="clear" w:color="auto" w:fill="auto"/>
            <w:vAlign w:val="bottom"/>
            <w:hideMark/>
          </w:tcPr>
          <w:p w14:paraId="513150D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MassDEP’s inventory divides biodiesel equally between the transportation and residential sectors. Biodiesel is subtracted from distillate for the transportation and residential sectors as per EPA guidance, parallel to the way ethanol is subtracted from motor gas for the transportation sector.</w:t>
            </w:r>
          </w:p>
        </w:tc>
        <w:tc>
          <w:tcPr>
            <w:tcW w:w="2016" w:type="dxa"/>
            <w:tcBorders>
              <w:top w:val="nil"/>
              <w:left w:val="nil"/>
              <w:bottom w:val="nil"/>
              <w:right w:val="nil"/>
            </w:tcBorders>
            <w:shd w:val="clear" w:color="auto" w:fill="auto"/>
            <w:vAlign w:val="bottom"/>
            <w:hideMark/>
          </w:tcPr>
          <w:p w14:paraId="6BF66A11" w14:textId="04B95DAF"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Biogenic CO2 not counted per international and national standards.  Tracked </w:t>
            </w:r>
            <w:r w:rsidR="00EE0C6A" w:rsidRPr="009A412F">
              <w:rPr>
                <w:rFonts w:eastAsia="Times New Roman" w:cs="Calibri"/>
                <w:color w:val="305496"/>
                <w:sz w:val="22"/>
              </w:rPr>
              <w:t>separately</w:t>
            </w:r>
            <w:r w:rsidRPr="009A412F">
              <w:rPr>
                <w:rFonts w:eastAsia="Times New Roman" w:cs="Calibri"/>
                <w:color w:val="305496"/>
                <w:sz w:val="22"/>
              </w:rPr>
              <w:t xml:space="preserve"> and reported as supplemental information.  Figure 6 and 7. Low Carbon Fuel Standard renewable blends for diesel have grown from 0.5 in 2011 to 18.5% in 2018.</w:t>
            </w:r>
          </w:p>
        </w:tc>
      </w:tr>
      <w:tr w:rsidR="00273FC6" w:rsidRPr="009A412F" w14:paraId="69BA79BF" w14:textId="77777777" w:rsidTr="00273FC6">
        <w:trPr>
          <w:trHeight w:val="531"/>
          <w:jc w:val="center"/>
        </w:trPr>
        <w:tc>
          <w:tcPr>
            <w:tcW w:w="2016" w:type="dxa"/>
            <w:tcBorders>
              <w:top w:val="nil"/>
              <w:left w:val="nil"/>
              <w:bottom w:val="nil"/>
              <w:right w:val="nil"/>
            </w:tcBorders>
            <w:shd w:val="clear" w:color="D9E1F2" w:fill="D9E1F2"/>
            <w:noWrap/>
            <w:vAlign w:val="bottom"/>
            <w:hideMark/>
          </w:tcPr>
          <w:p w14:paraId="0580CE33"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Carbon stored in industrial products</w:t>
            </w:r>
          </w:p>
        </w:tc>
        <w:tc>
          <w:tcPr>
            <w:tcW w:w="2016" w:type="dxa"/>
            <w:tcBorders>
              <w:top w:val="nil"/>
              <w:left w:val="nil"/>
              <w:bottom w:val="nil"/>
              <w:right w:val="nil"/>
            </w:tcBorders>
            <w:shd w:val="clear" w:color="D9E1F2" w:fill="D9E1F2"/>
            <w:vAlign w:val="bottom"/>
            <w:hideMark/>
          </w:tcPr>
          <w:p w14:paraId="397323BD" w14:textId="3D7D3B5B"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D9E1F2" w:fill="D9E1F2"/>
            <w:vAlign w:val="bottom"/>
            <w:hideMark/>
          </w:tcPr>
          <w:p w14:paraId="112EDFC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Non Energy use of fuels in IPPU</w:t>
            </w:r>
          </w:p>
        </w:tc>
        <w:tc>
          <w:tcPr>
            <w:tcW w:w="2016" w:type="dxa"/>
            <w:tcBorders>
              <w:top w:val="nil"/>
              <w:left w:val="nil"/>
              <w:bottom w:val="nil"/>
              <w:right w:val="nil"/>
            </w:tcBorders>
            <w:shd w:val="clear" w:color="D9E1F2" w:fill="D9E1F2"/>
            <w:vAlign w:val="bottom"/>
            <w:hideMark/>
          </w:tcPr>
          <w:p w14:paraId="4E4ABDA3" w14:textId="1CCA6E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Industrial fuel </w:t>
            </w:r>
            <w:r w:rsidR="00EE0C6A" w:rsidRPr="009A412F">
              <w:rPr>
                <w:rFonts w:eastAsia="Times New Roman" w:cs="Calibri"/>
                <w:color w:val="305496"/>
                <w:sz w:val="22"/>
              </w:rPr>
              <w:t>consumption</w:t>
            </w:r>
            <w:r w:rsidRPr="009A412F">
              <w:rPr>
                <w:rFonts w:eastAsia="Times New Roman" w:cs="Calibri"/>
                <w:color w:val="305496"/>
                <w:sz w:val="22"/>
              </w:rPr>
              <w:t xml:space="preserve"> adjusted to account for carbon stored in petrochemical feedstocks not used for energy.</w:t>
            </w:r>
          </w:p>
        </w:tc>
        <w:tc>
          <w:tcPr>
            <w:tcW w:w="2016" w:type="dxa"/>
            <w:tcBorders>
              <w:top w:val="nil"/>
              <w:left w:val="nil"/>
              <w:bottom w:val="nil"/>
              <w:right w:val="nil"/>
            </w:tcBorders>
            <w:shd w:val="clear" w:color="D9E1F2" w:fill="D9E1F2"/>
            <w:vAlign w:val="bottom"/>
            <w:hideMark/>
          </w:tcPr>
          <w:p w14:paraId="2459FDD8"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D9E1F2" w:fill="D9E1F2"/>
            <w:vAlign w:val="bottom"/>
            <w:hideMark/>
          </w:tcPr>
          <w:p w14:paraId="2B6C02F7" w14:textId="77777777" w:rsidR="00656C8C" w:rsidRPr="009A412F" w:rsidRDefault="00656C8C" w:rsidP="00E16D8A">
            <w:pPr>
              <w:spacing w:after="0" w:line="240" w:lineRule="auto"/>
              <w:rPr>
                <w:rFonts w:ascii="Times New Roman" w:eastAsia="Times New Roman" w:hAnsi="Times New Roman" w:cs="Times New Roman"/>
                <w:sz w:val="22"/>
              </w:rPr>
            </w:pPr>
          </w:p>
        </w:tc>
      </w:tr>
      <w:tr w:rsidR="00656C8C" w:rsidRPr="009A412F" w14:paraId="13A5D2FE" w14:textId="77777777" w:rsidTr="00490344">
        <w:trPr>
          <w:trHeight w:val="711"/>
          <w:jc w:val="center"/>
        </w:trPr>
        <w:tc>
          <w:tcPr>
            <w:tcW w:w="2016" w:type="dxa"/>
            <w:tcBorders>
              <w:top w:val="nil"/>
              <w:left w:val="nil"/>
              <w:bottom w:val="nil"/>
              <w:right w:val="nil"/>
            </w:tcBorders>
            <w:shd w:val="clear" w:color="auto" w:fill="auto"/>
            <w:vAlign w:val="bottom"/>
            <w:hideMark/>
          </w:tcPr>
          <w:p w14:paraId="31DD812F"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Black Carbon other Short lived Climate Pollutants</w:t>
            </w:r>
          </w:p>
        </w:tc>
        <w:tc>
          <w:tcPr>
            <w:tcW w:w="2016" w:type="dxa"/>
            <w:tcBorders>
              <w:top w:val="nil"/>
              <w:left w:val="nil"/>
              <w:bottom w:val="nil"/>
              <w:right w:val="nil"/>
            </w:tcBorders>
            <w:shd w:val="clear" w:color="auto" w:fill="auto"/>
            <w:vAlign w:val="bottom"/>
            <w:hideMark/>
          </w:tcPr>
          <w:p w14:paraId="19B1B806" w14:textId="2238E204"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Black carbon emissions are calculated using elemental carbon component of PM2.5 totals for combustion related </w:t>
            </w:r>
            <w:r w:rsidR="00EE0C6A" w:rsidRPr="009A412F">
              <w:rPr>
                <w:rFonts w:eastAsia="Times New Roman" w:cs="Calibri"/>
                <w:color w:val="305496"/>
                <w:sz w:val="22"/>
              </w:rPr>
              <w:t>activities</w:t>
            </w:r>
            <w:r w:rsidRPr="009A412F">
              <w:rPr>
                <w:rFonts w:eastAsia="Times New Roman" w:cs="Calibri"/>
                <w:color w:val="305496"/>
                <w:sz w:val="22"/>
              </w:rPr>
              <w:t xml:space="preserve"> from the 2017 National Emissions Inventory (NEI)</w:t>
            </w:r>
          </w:p>
        </w:tc>
        <w:tc>
          <w:tcPr>
            <w:tcW w:w="2016" w:type="dxa"/>
            <w:tcBorders>
              <w:top w:val="nil"/>
              <w:left w:val="nil"/>
              <w:bottom w:val="nil"/>
              <w:right w:val="nil"/>
            </w:tcBorders>
            <w:shd w:val="clear" w:color="auto" w:fill="auto"/>
            <w:vAlign w:val="bottom"/>
            <w:hideMark/>
          </w:tcPr>
          <w:p w14:paraId="51ED90C0" w14:textId="676580E0"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Precursor and </w:t>
            </w:r>
            <w:r w:rsidR="00EE0C6A" w:rsidRPr="009A412F">
              <w:rPr>
                <w:rFonts w:eastAsia="Times New Roman" w:cs="Calibri"/>
                <w:color w:val="305496"/>
                <w:sz w:val="22"/>
              </w:rPr>
              <w:t>short-lived</w:t>
            </w:r>
            <w:r w:rsidRPr="009A412F">
              <w:rPr>
                <w:rFonts w:eastAsia="Times New Roman" w:cs="Calibri"/>
                <w:color w:val="305496"/>
                <w:sz w:val="22"/>
              </w:rPr>
              <w:t xml:space="preserve"> gases</w:t>
            </w:r>
          </w:p>
        </w:tc>
        <w:tc>
          <w:tcPr>
            <w:tcW w:w="2016" w:type="dxa"/>
            <w:tcBorders>
              <w:top w:val="nil"/>
              <w:left w:val="nil"/>
              <w:bottom w:val="nil"/>
              <w:right w:val="nil"/>
            </w:tcBorders>
            <w:shd w:val="clear" w:color="auto" w:fill="auto"/>
            <w:vAlign w:val="bottom"/>
            <w:hideMark/>
          </w:tcPr>
          <w:p w14:paraId="21D6F609"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auto" w:fill="auto"/>
            <w:vAlign w:val="bottom"/>
            <w:hideMark/>
          </w:tcPr>
          <w:p w14:paraId="4EA97A68"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Black carbon: does not have black carbon emissions data for 1990 to include in the GHG inventory.</w:t>
            </w:r>
            <w:r w:rsidRPr="009A412F">
              <w:rPr>
                <w:rFonts w:eastAsia="Times New Roman" w:cs="Calibri"/>
                <w:color w:val="305496"/>
                <w:sz w:val="22"/>
              </w:rPr>
              <w:br/>
              <w:t>Emissions of other SLCPs, such as methane and fluorinated gases, are included in this inventory</w:t>
            </w:r>
          </w:p>
        </w:tc>
        <w:tc>
          <w:tcPr>
            <w:tcW w:w="2016" w:type="dxa"/>
            <w:tcBorders>
              <w:top w:val="nil"/>
              <w:left w:val="nil"/>
              <w:bottom w:val="nil"/>
              <w:right w:val="nil"/>
            </w:tcBorders>
            <w:shd w:val="clear" w:color="auto" w:fill="auto"/>
            <w:vAlign w:val="bottom"/>
            <w:hideMark/>
          </w:tcPr>
          <w:p w14:paraId="56C9B80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Separate SLCP Strategy Report.</w:t>
            </w:r>
          </w:p>
        </w:tc>
      </w:tr>
      <w:tr w:rsidR="00273FC6" w:rsidRPr="009A412F" w14:paraId="211FCB4D" w14:textId="77777777" w:rsidTr="00273FC6">
        <w:trPr>
          <w:trHeight w:val="1152"/>
          <w:jc w:val="center"/>
        </w:trPr>
        <w:tc>
          <w:tcPr>
            <w:tcW w:w="2016" w:type="dxa"/>
            <w:tcBorders>
              <w:top w:val="nil"/>
              <w:left w:val="nil"/>
              <w:bottom w:val="nil"/>
              <w:right w:val="nil"/>
            </w:tcBorders>
            <w:shd w:val="clear" w:color="D9E1F2" w:fill="D9E1F2"/>
            <w:noWrap/>
            <w:vAlign w:val="bottom"/>
            <w:hideMark/>
          </w:tcPr>
          <w:p w14:paraId="5B9C03B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ODS Substitutes</w:t>
            </w:r>
          </w:p>
        </w:tc>
        <w:tc>
          <w:tcPr>
            <w:tcW w:w="2016" w:type="dxa"/>
            <w:tcBorders>
              <w:top w:val="nil"/>
              <w:left w:val="nil"/>
              <w:bottom w:val="nil"/>
              <w:right w:val="nil"/>
            </w:tcBorders>
            <w:shd w:val="clear" w:color="D9E1F2" w:fill="D9E1F2"/>
            <w:vAlign w:val="bottom"/>
            <w:hideMark/>
          </w:tcPr>
          <w:p w14:paraId="0B4721C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California Model</w:t>
            </w:r>
          </w:p>
        </w:tc>
        <w:tc>
          <w:tcPr>
            <w:tcW w:w="2016" w:type="dxa"/>
            <w:tcBorders>
              <w:top w:val="nil"/>
              <w:left w:val="nil"/>
              <w:bottom w:val="nil"/>
              <w:right w:val="nil"/>
            </w:tcBorders>
            <w:shd w:val="clear" w:color="D9E1F2" w:fill="D9E1F2"/>
            <w:vAlign w:val="bottom"/>
            <w:hideMark/>
          </w:tcPr>
          <w:p w14:paraId="42E6AB4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increasing, ODS covered under Montreal protocol and not accounted, ODS substitutes included.</w:t>
            </w:r>
          </w:p>
        </w:tc>
        <w:tc>
          <w:tcPr>
            <w:tcW w:w="2016" w:type="dxa"/>
            <w:tcBorders>
              <w:top w:val="nil"/>
              <w:left w:val="nil"/>
              <w:bottom w:val="nil"/>
              <w:right w:val="nil"/>
            </w:tcBorders>
            <w:shd w:val="clear" w:color="D9E1F2" w:fill="D9E1F2"/>
            <w:vAlign w:val="bottom"/>
            <w:hideMark/>
          </w:tcPr>
          <w:p w14:paraId="2645852E"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Most recent inventory adopts California model developed by CARB</w:t>
            </w:r>
          </w:p>
        </w:tc>
        <w:tc>
          <w:tcPr>
            <w:tcW w:w="2016" w:type="dxa"/>
            <w:tcBorders>
              <w:top w:val="nil"/>
              <w:left w:val="nil"/>
              <w:bottom w:val="nil"/>
              <w:right w:val="nil"/>
            </w:tcBorders>
            <w:shd w:val="clear" w:color="D9E1F2" w:fill="D9E1F2"/>
            <w:vAlign w:val="bottom"/>
            <w:hideMark/>
          </w:tcPr>
          <w:p w14:paraId="54130D0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Listed under Issues for Future GHG Inventories</w:t>
            </w:r>
          </w:p>
        </w:tc>
        <w:tc>
          <w:tcPr>
            <w:tcW w:w="2016" w:type="dxa"/>
            <w:tcBorders>
              <w:top w:val="nil"/>
              <w:left w:val="nil"/>
              <w:bottom w:val="nil"/>
              <w:right w:val="nil"/>
            </w:tcBorders>
            <w:shd w:val="clear" w:color="D9E1F2" w:fill="D9E1F2"/>
            <w:vAlign w:val="bottom"/>
            <w:hideMark/>
          </w:tcPr>
          <w:p w14:paraId="79E6AA4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ODS not counted in inventory, ODS substitutes significant rise.  California tool for accounting.</w:t>
            </w:r>
          </w:p>
        </w:tc>
      </w:tr>
      <w:tr w:rsidR="00656C8C" w:rsidRPr="009A412F" w14:paraId="01A78CB9" w14:textId="77777777" w:rsidTr="00273FC6">
        <w:trPr>
          <w:trHeight w:val="1728"/>
          <w:jc w:val="center"/>
        </w:trPr>
        <w:tc>
          <w:tcPr>
            <w:tcW w:w="2016" w:type="dxa"/>
            <w:tcBorders>
              <w:top w:val="nil"/>
              <w:left w:val="nil"/>
              <w:bottom w:val="nil"/>
              <w:right w:val="nil"/>
            </w:tcBorders>
            <w:shd w:val="clear" w:color="auto" w:fill="auto"/>
            <w:noWrap/>
            <w:vAlign w:val="bottom"/>
            <w:hideMark/>
          </w:tcPr>
          <w:p w14:paraId="5BC70A8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Data sources</w:t>
            </w:r>
          </w:p>
        </w:tc>
        <w:tc>
          <w:tcPr>
            <w:tcW w:w="2016" w:type="dxa"/>
            <w:tcBorders>
              <w:top w:val="nil"/>
              <w:left w:val="nil"/>
              <w:bottom w:val="nil"/>
              <w:right w:val="nil"/>
            </w:tcBorders>
            <w:shd w:val="clear" w:color="auto" w:fill="auto"/>
            <w:vAlign w:val="bottom"/>
            <w:hideMark/>
          </w:tcPr>
          <w:p w14:paraId="7DEC012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Mix of Federal and State</w:t>
            </w:r>
          </w:p>
        </w:tc>
        <w:tc>
          <w:tcPr>
            <w:tcW w:w="2016" w:type="dxa"/>
            <w:tcBorders>
              <w:top w:val="nil"/>
              <w:left w:val="nil"/>
              <w:bottom w:val="nil"/>
              <w:right w:val="nil"/>
            </w:tcBorders>
            <w:shd w:val="clear" w:color="auto" w:fill="auto"/>
            <w:vAlign w:val="bottom"/>
            <w:hideMark/>
          </w:tcPr>
          <w:p w14:paraId="61F46D9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Summary in Figure 1-1. Note each sector contains notes on planned improvements.</w:t>
            </w:r>
          </w:p>
        </w:tc>
        <w:tc>
          <w:tcPr>
            <w:tcW w:w="2016" w:type="dxa"/>
            <w:tcBorders>
              <w:top w:val="nil"/>
              <w:left w:val="nil"/>
              <w:bottom w:val="nil"/>
              <w:right w:val="nil"/>
            </w:tcBorders>
            <w:shd w:val="clear" w:color="auto" w:fill="auto"/>
            <w:vAlign w:val="bottom"/>
            <w:hideMark/>
          </w:tcPr>
          <w:p w14:paraId="791DE80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Mix of Federal and State</w:t>
            </w:r>
          </w:p>
        </w:tc>
        <w:tc>
          <w:tcPr>
            <w:tcW w:w="2016" w:type="dxa"/>
            <w:tcBorders>
              <w:top w:val="nil"/>
              <w:left w:val="nil"/>
              <w:bottom w:val="nil"/>
              <w:right w:val="nil"/>
            </w:tcBorders>
            <w:shd w:val="clear" w:color="auto" w:fill="auto"/>
            <w:vAlign w:val="bottom"/>
            <w:hideMark/>
          </w:tcPr>
          <w:p w14:paraId="0B5BB6D4"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Federal data sources: EPA State GHG Inventory Tool (SGIT); EPA FLIGHT tool; US DOT PHMSA data and EIA data. State data sources: MWRA</w:t>
            </w:r>
          </w:p>
        </w:tc>
        <w:tc>
          <w:tcPr>
            <w:tcW w:w="2016" w:type="dxa"/>
            <w:tcBorders>
              <w:top w:val="nil"/>
              <w:left w:val="nil"/>
              <w:bottom w:val="nil"/>
              <w:right w:val="nil"/>
            </w:tcBorders>
            <w:shd w:val="clear" w:color="auto" w:fill="auto"/>
            <w:vAlign w:val="bottom"/>
            <w:hideMark/>
          </w:tcPr>
          <w:p w14:paraId="5881ABC5" w14:textId="3637E19B"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Mix of Federal and State, Facility </w:t>
            </w:r>
            <w:r w:rsidR="00EE0C6A" w:rsidRPr="009A412F">
              <w:rPr>
                <w:rFonts w:eastAsia="Times New Roman" w:cs="Calibri"/>
                <w:color w:val="305496"/>
                <w:sz w:val="22"/>
              </w:rPr>
              <w:t>specific</w:t>
            </w:r>
            <w:r w:rsidRPr="009A412F">
              <w:rPr>
                <w:rFonts w:eastAsia="Times New Roman" w:cs="Calibri"/>
                <w:color w:val="305496"/>
                <w:sz w:val="22"/>
              </w:rPr>
              <w:t xml:space="preserve"> reports required for &gt;10,000 metric tons, and verified for &gt;25,000 metric tons</w:t>
            </w:r>
          </w:p>
        </w:tc>
      </w:tr>
      <w:tr w:rsidR="00273FC6" w:rsidRPr="009A412F" w14:paraId="4478F37E" w14:textId="77777777" w:rsidTr="00273FC6">
        <w:trPr>
          <w:trHeight w:val="1728"/>
          <w:jc w:val="center"/>
        </w:trPr>
        <w:tc>
          <w:tcPr>
            <w:tcW w:w="2016" w:type="dxa"/>
            <w:tcBorders>
              <w:top w:val="nil"/>
              <w:left w:val="nil"/>
              <w:bottom w:val="nil"/>
              <w:right w:val="nil"/>
            </w:tcBorders>
            <w:shd w:val="clear" w:color="D9E1F2" w:fill="D9E1F2"/>
            <w:noWrap/>
            <w:vAlign w:val="bottom"/>
            <w:hideMark/>
          </w:tcPr>
          <w:p w14:paraId="13CE34C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Frequency </w:t>
            </w:r>
          </w:p>
        </w:tc>
        <w:tc>
          <w:tcPr>
            <w:tcW w:w="2016" w:type="dxa"/>
            <w:tcBorders>
              <w:top w:val="nil"/>
              <w:left w:val="nil"/>
              <w:bottom w:val="nil"/>
              <w:right w:val="nil"/>
            </w:tcBorders>
            <w:shd w:val="clear" w:color="D9E1F2" w:fill="D9E1F2"/>
            <w:vAlign w:val="bottom"/>
            <w:hideMark/>
          </w:tcPr>
          <w:p w14:paraId="68CA95A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Annual Update Briefs, Comprehensive Every 3 years</w:t>
            </w:r>
          </w:p>
        </w:tc>
        <w:tc>
          <w:tcPr>
            <w:tcW w:w="2016" w:type="dxa"/>
            <w:tcBorders>
              <w:top w:val="nil"/>
              <w:left w:val="nil"/>
              <w:bottom w:val="nil"/>
              <w:right w:val="nil"/>
            </w:tcBorders>
            <w:shd w:val="clear" w:color="D9E1F2" w:fill="D9E1F2"/>
            <w:vAlign w:val="bottom"/>
            <w:hideMark/>
          </w:tcPr>
          <w:p w14:paraId="3EDBD5D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Annual reporting required by Annex 1 countries, by April.   Public review and comments Feb. 12, 2021- March 15, 2021. </w:t>
            </w:r>
          </w:p>
        </w:tc>
        <w:tc>
          <w:tcPr>
            <w:tcW w:w="2016" w:type="dxa"/>
            <w:tcBorders>
              <w:top w:val="nil"/>
              <w:left w:val="nil"/>
              <w:bottom w:val="nil"/>
              <w:right w:val="nil"/>
            </w:tcBorders>
            <w:shd w:val="clear" w:color="D9E1F2" w:fill="D9E1F2"/>
            <w:vAlign w:val="bottom"/>
            <w:hideMark/>
          </w:tcPr>
          <w:p w14:paraId="12A84545"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D9E1F2" w:fill="D9E1F2"/>
            <w:vAlign w:val="bottom"/>
            <w:hideMark/>
          </w:tcPr>
          <w:p w14:paraId="5C76349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MassDEP publishes a detailed GHG inventory at least every three years as required by MGL chapter 21N, section 2, subsection (c)</w:t>
            </w:r>
          </w:p>
        </w:tc>
        <w:tc>
          <w:tcPr>
            <w:tcW w:w="2016" w:type="dxa"/>
            <w:tcBorders>
              <w:top w:val="nil"/>
              <w:left w:val="nil"/>
              <w:bottom w:val="nil"/>
              <w:right w:val="nil"/>
            </w:tcBorders>
            <w:shd w:val="clear" w:color="D9E1F2" w:fill="D9E1F2"/>
            <w:vAlign w:val="bottom"/>
            <w:hideMark/>
          </w:tcPr>
          <w:p w14:paraId="3DCB89F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Annual</w:t>
            </w:r>
          </w:p>
        </w:tc>
      </w:tr>
      <w:tr w:rsidR="00656C8C" w:rsidRPr="009A412F" w14:paraId="0DC2EDB5" w14:textId="77777777" w:rsidTr="00273FC6">
        <w:trPr>
          <w:trHeight w:val="2016"/>
          <w:jc w:val="center"/>
        </w:trPr>
        <w:tc>
          <w:tcPr>
            <w:tcW w:w="2016" w:type="dxa"/>
            <w:tcBorders>
              <w:top w:val="nil"/>
              <w:left w:val="nil"/>
              <w:bottom w:val="nil"/>
              <w:right w:val="nil"/>
            </w:tcBorders>
            <w:shd w:val="clear" w:color="auto" w:fill="auto"/>
            <w:vAlign w:val="bottom"/>
            <w:hideMark/>
          </w:tcPr>
          <w:p w14:paraId="6F220109" w14:textId="002BC999" w:rsidR="00656C8C" w:rsidRPr="009A412F" w:rsidRDefault="00EE0C6A" w:rsidP="00E16D8A">
            <w:pPr>
              <w:spacing w:after="0" w:line="240" w:lineRule="auto"/>
              <w:rPr>
                <w:rFonts w:eastAsia="Times New Roman" w:cs="Calibri"/>
                <w:color w:val="305496"/>
                <w:sz w:val="22"/>
              </w:rPr>
            </w:pPr>
            <w:r w:rsidRPr="009A412F">
              <w:rPr>
                <w:rFonts w:eastAsia="Times New Roman" w:cs="Calibri"/>
                <w:color w:val="305496"/>
                <w:sz w:val="22"/>
              </w:rPr>
              <w:t>Comparison</w:t>
            </w:r>
            <w:r w:rsidR="00656C8C" w:rsidRPr="009A412F">
              <w:rPr>
                <w:rFonts w:eastAsia="Times New Roman" w:cs="Calibri"/>
                <w:color w:val="305496"/>
                <w:sz w:val="22"/>
              </w:rPr>
              <w:t xml:space="preserve"> to National and Per Capita Averages by Sector</w:t>
            </w:r>
          </w:p>
        </w:tc>
        <w:tc>
          <w:tcPr>
            <w:tcW w:w="2016" w:type="dxa"/>
            <w:tcBorders>
              <w:top w:val="nil"/>
              <w:left w:val="nil"/>
              <w:bottom w:val="nil"/>
              <w:right w:val="nil"/>
            </w:tcBorders>
            <w:shd w:val="clear" w:color="auto" w:fill="auto"/>
            <w:vAlign w:val="bottom"/>
            <w:hideMark/>
          </w:tcPr>
          <w:p w14:paraId="068EB56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Yes, Figure 2 compares U.S. and Vermont gross GHG emissions</w:t>
            </w:r>
          </w:p>
        </w:tc>
        <w:tc>
          <w:tcPr>
            <w:tcW w:w="2016" w:type="dxa"/>
            <w:tcBorders>
              <w:top w:val="nil"/>
              <w:left w:val="nil"/>
              <w:bottom w:val="nil"/>
              <w:right w:val="nil"/>
            </w:tcBorders>
            <w:shd w:val="clear" w:color="auto" w:fill="auto"/>
            <w:vAlign w:val="bottom"/>
            <w:hideMark/>
          </w:tcPr>
          <w:p w14:paraId="2BD2D384"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Annual reporting required by Annex 1 countries, by April.   Public review and comments Feb. 12, 2021- March 15, 2021. QA/QC process summarized Figure 1-2. </w:t>
            </w:r>
          </w:p>
        </w:tc>
        <w:tc>
          <w:tcPr>
            <w:tcW w:w="2016" w:type="dxa"/>
            <w:tcBorders>
              <w:top w:val="nil"/>
              <w:left w:val="nil"/>
              <w:bottom w:val="nil"/>
              <w:right w:val="nil"/>
            </w:tcBorders>
            <w:shd w:val="clear" w:color="auto" w:fill="auto"/>
            <w:vAlign w:val="bottom"/>
            <w:hideMark/>
          </w:tcPr>
          <w:p w14:paraId="52093C4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Yes, Figure S-6 Emissions by Sector US and NYS. </w:t>
            </w:r>
          </w:p>
        </w:tc>
        <w:tc>
          <w:tcPr>
            <w:tcW w:w="2016" w:type="dxa"/>
            <w:tcBorders>
              <w:top w:val="nil"/>
              <w:left w:val="nil"/>
              <w:bottom w:val="nil"/>
              <w:right w:val="nil"/>
            </w:tcBorders>
            <w:shd w:val="clear" w:color="auto" w:fill="auto"/>
            <w:vAlign w:val="bottom"/>
            <w:hideMark/>
          </w:tcPr>
          <w:p w14:paraId="475A5B04"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auto" w:fill="auto"/>
            <w:vAlign w:val="bottom"/>
            <w:hideMark/>
          </w:tcPr>
          <w:p w14:paraId="70627F84" w14:textId="77777777" w:rsidR="00656C8C" w:rsidRPr="009A412F" w:rsidRDefault="00656C8C" w:rsidP="00E16D8A">
            <w:pPr>
              <w:spacing w:after="0" w:line="240" w:lineRule="auto"/>
              <w:rPr>
                <w:rFonts w:ascii="Times New Roman" w:eastAsia="Times New Roman" w:hAnsi="Times New Roman" w:cs="Times New Roman"/>
                <w:sz w:val="22"/>
              </w:rPr>
            </w:pPr>
          </w:p>
        </w:tc>
      </w:tr>
      <w:tr w:rsidR="00273FC6" w:rsidRPr="009A412F" w14:paraId="023B4153" w14:textId="77777777" w:rsidTr="00273FC6">
        <w:trPr>
          <w:trHeight w:val="2880"/>
          <w:jc w:val="center"/>
        </w:trPr>
        <w:tc>
          <w:tcPr>
            <w:tcW w:w="2016" w:type="dxa"/>
            <w:tcBorders>
              <w:top w:val="nil"/>
              <w:left w:val="nil"/>
              <w:bottom w:val="nil"/>
              <w:right w:val="nil"/>
            </w:tcBorders>
            <w:shd w:val="clear" w:color="D9E1F2" w:fill="D9E1F2"/>
            <w:noWrap/>
            <w:vAlign w:val="bottom"/>
            <w:hideMark/>
          </w:tcPr>
          <w:p w14:paraId="0A25EAE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Indicators</w:t>
            </w:r>
          </w:p>
        </w:tc>
        <w:tc>
          <w:tcPr>
            <w:tcW w:w="2016" w:type="dxa"/>
            <w:tcBorders>
              <w:top w:val="nil"/>
              <w:left w:val="nil"/>
              <w:bottom w:val="nil"/>
              <w:right w:val="nil"/>
            </w:tcBorders>
            <w:shd w:val="clear" w:color="D9E1F2" w:fill="D9E1F2"/>
            <w:vAlign w:val="bottom"/>
            <w:hideMark/>
          </w:tcPr>
          <w:p w14:paraId="6BB0A76E"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Consideration of GHG emissions per capita</w:t>
            </w:r>
          </w:p>
        </w:tc>
        <w:tc>
          <w:tcPr>
            <w:tcW w:w="2016" w:type="dxa"/>
            <w:tcBorders>
              <w:top w:val="nil"/>
              <w:left w:val="nil"/>
              <w:bottom w:val="nil"/>
              <w:right w:val="nil"/>
            </w:tcBorders>
            <w:shd w:val="clear" w:color="D9E1F2" w:fill="D9E1F2"/>
            <w:vAlign w:val="bottom"/>
            <w:hideMark/>
          </w:tcPr>
          <w:p w14:paraId="7314242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Table 2-14, Figure 2-21. Intensities and per capita.  Figures 3-7 and 3-8 provide Heating and Cooling </w:t>
            </w:r>
            <w:proofErr w:type="gramStart"/>
            <w:r w:rsidRPr="009A412F">
              <w:rPr>
                <w:rFonts w:eastAsia="Times New Roman" w:cs="Calibri"/>
                <w:color w:val="305496"/>
                <w:sz w:val="22"/>
              </w:rPr>
              <w:t>Degree day</w:t>
            </w:r>
            <w:proofErr w:type="gramEnd"/>
            <w:r w:rsidRPr="009A412F">
              <w:rPr>
                <w:rFonts w:eastAsia="Times New Roman" w:cs="Calibri"/>
                <w:color w:val="305496"/>
                <w:sz w:val="22"/>
              </w:rPr>
              <w:t xml:space="preserve"> trends. Industrial production indexes Figure 3-11. Table 3-16 Carbon intensity per </w:t>
            </w:r>
            <w:proofErr w:type="spellStart"/>
            <w:r w:rsidRPr="009A412F">
              <w:rPr>
                <w:rFonts w:eastAsia="Times New Roman" w:cs="Calibri"/>
                <w:color w:val="305496"/>
                <w:sz w:val="22"/>
              </w:rPr>
              <w:t>Qbtu</w:t>
            </w:r>
            <w:proofErr w:type="spellEnd"/>
            <w:r w:rsidRPr="009A412F">
              <w:rPr>
                <w:rFonts w:eastAsia="Times New Roman" w:cs="Calibri"/>
                <w:color w:val="305496"/>
                <w:sz w:val="22"/>
              </w:rPr>
              <w:t xml:space="preserve"> by sector.</w:t>
            </w:r>
          </w:p>
        </w:tc>
        <w:tc>
          <w:tcPr>
            <w:tcW w:w="2016" w:type="dxa"/>
            <w:tcBorders>
              <w:top w:val="nil"/>
              <w:left w:val="nil"/>
              <w:bottom w:val="nil"/>
              <w:right w:val="nil"/>
            </w:tcBorders>
            <w:shd w:val="clear" w:color="D9E1F2" w:fill="D9E1F2"/>
            <w:vAlign w:val="bottom"/>
            <w:hideMark/>
          </w:tcPr>
          <w:p w14:paraId="66BC4D2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Per capita and per GSP emissions, reported lowest of all 50 states. </w:t>
            </w:r>
          </w:p>
        </w:tc>
        <w:tc>
          <w:tcPr>
            <w:tcW w:w="2016" w:type="dxa"/>
            <w:tcBorders>
              <w:top w:val="nil"/>
              <w:left w:val="nil"/>
              <w:bottom w:val="nil"/>
              <w:right w:val="nil"/>
            </w:tcBorders>
            <w:shd w:val="clear" w:color="D9E1F2" w:fill="D9E1F2"/>
            <w:vAlign w:val="bottom"/>
            <w:hideMark/>
          </w:tcPr>
          <w:p w14:paraId="60E9A32B"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D9E1F2" w:fill="D9E1F2"/>
            <w:vAlign w:val="bottom"/>
            <w:hideMark/>
          </w:tcPr>
          <w:p w14:paraId="7E25911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Per capita and per GDP. Both declining. Emissions per unit commercial floor space Figure 15.a, and per residence 15.b.</w:t>
            </w:r>
          </w:p>
        </w:tc>
      </w:tr>
      <w:tr w:rsidR="00656C8C" w:rsidRPr="009A412F" w14:paraId="0B757D1E" w14:textId="77777777" w:rsidTr="00273FC6">
        <w:trPr>
          <w:trHeight w:val="2592"/>
          <w:jc w:val="center"/>
        </w:trPr>
        <w:tc>
          <w:tcPr>
            <w:tcW w:w="2016" w:type="dxa"/>
            <w:tcBorders>
              <w:top w:val="nil"/>
              <w:left w:val="nil"/>
              <w:bottom w:val="nil"/>
              <w:right w:val="nil"/>
            </w:tcBorders>
            <w:shd w:val="clear" w:color="auto" w:fill="auto"/>
            <w:noWrap/>
            <w:vAlign w:val="bottom"/>
            <w:hideMark/>
          </w:tcPr>
          <w:p w14:paraId="3645C24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Consumption Based Emissions</w:t>
            </w:r>
          </w:p>
        </w:tc>
        <w:tc>
          <w:tcPr>
            <w:tcW w:w="2016" w:type="dxa"/>
            <w:tcBorders>
              <w:top w:val="nil"/>
              <w:left w:val="nil"/>
              <w:bottom w:val="nil"/>
              <w:right w:val="nil"/>
            </w:tcBorders>
            <w:shd w:val="clear" w:color="auto" w:fill="auto"/>
            <w:vAlign w:val="bottom"/>
            <w:hideMark/>
          </w:tcPr>
          <w:p w14:paraId="2D3AEF5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Discusses value for informing policy and behavior</w:t>
            </w:r>
          </w:p>
        </w:tc>
        <w:tc>
          <w:tcPr>
            <w:tcW w:w="2016" w:type="dxa"/>
            <w:tcBorders>
              <w:top w:val="nil"/>
              <w:left w:val="nil"/>
              <w:bottom w:val="nil"/>
              <w:right w:val="nil"/>
            </w:tcBorders>
            <w:shd w:val="clear" w:color="auto" w:fill="auto"/>
            <w:vAlign w:val="bottom"/>
            <w:hideMark/>
          </w:tcPr>
          <w:p w14:paraId="48FBD8E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discussed except for some accounting of imports.</w:t>
            </w:r>
          </w:p>
        </w:tc>
        <w:tc>
          <w:tcPr>
            <w:tcW w:w="2016" w:type="dxa"/>
            <w:tcBorders>
              <w:top w:val="nil"/>
              <w:left w:val="nil"/>
              <w:bottom w:val="nil"/>
              <w:right w:val="nil"/>
            </w:tcBorders>
            <w:shd w:val="clear" w:color="auto" w:fill="auto"/>
            <w:vAlign w:val="bottom"/>
            <w:hideMark/>
          </w:tcPr>
          <w:p w14:paraId="00BC238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Electricity consumption allocated to sectors in cross tabulations</w:t>
            </w:r>
          </w:p>
        </w:tc>
        <w:tc>
          <w:tcPr>
            <w:tcW w:w="2016" w:type="dxa"/>
            <w:tcBorders>
              <w:top w:val="nil"/>
              <w:left w:val="nil"/>
              <w:bottom w:val="nil"/>
              <w:right w:val="nil"/>
            </w:tcBorders>
            <w:shd w:val="clear" w:color="auto" w:fill="auto"/>
            <w:vAlign w:val="bottom"/>
            <w:hideMark/>
          </w:tcPr>
          <w:p w14:paraId="4CAAD7B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With the exception of electricity sector emissions (discussed in section 3 above), emissions that occur during the out-of-state manufacture of products used in Massachusetts are not included in this inventory.</w:t>
            </w:r>
          </w:p>
        </w:tc>
        <w:tc>
          <w:tcPr>
            <w:tcW w:w="2016" w:type="dxa"/>
            <w:tcBorders>
              <w:top w:val="nil"/>
              <w:left w:val="nil"/>
              <w:bottom w:val="nil"/>
              <w:right w:val="nil"/>
            </w:tcBorders>
            <w:shd w:val="clear" w:color="auto" w:fill="auto"/>
            <w:vAlign w:val="bottom"/>
            <w:hideMark/>
          </w:tcPr>
          <w:p w14:paraId="5121743F" w14:textId="77777777" w:rsidR="00656C8C" w:rsidRPr="009A412F" w:rsidRDefault="00656C8C" w:rsidP="00E16D8A">
            <w:pPr>
              <w:spacing w:after="0" w:line="240" w:lineRule="auto"/>
              <w:rPr>
                <w:rFonts w:eastAsia="Times New Roman" w:cs="Calibri"/>
                <w:color w:val="305496"/>
                <w:sz w:val="22"/>
              </w:rPr>
            </w:pPr>
          </w:p>
        </w:tc>
      </w:tr>
      <w:tr w:rsidR="00273FC6" w:rsidRPr="009A412F" w14:paraId="7A7F59F9" w14:textId="77777777" w:rsidTr="00273FC6">
        <w:trPr>
          <w:trHeight w:val="3168"/>
          <w:jc w:val="center"/>
        </w:trPr>
        <w:tc>
          <w:tcPr>
            <w:tcW w:w="2016" w:type="dxa"/>
            <w:tcBorders>
              <w:top w:val="nil"/>
              <w:left w:val="nil"/>
              <w:bottom w:val="nil"/>
              <w:right w:val="nil"/>
            </w:tcBorders>
            <w:shd w:val="clear" w:color="D9E1F2" w:fill="D9E1F2"/>
            <w:noWrap/>
            <w:vAlign w:val="bottom"/>
            <w:hideMark/>
          </w:tcPr>
          <w:p w14:paraId="354D8E6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Upstream Accounting </w:t>
            </w:r>
          </w:p>
        </w:tc>
        <w:tc>
          <w:tcPr>
            <w:tcW w:w="2016" w:type="dxa"/>
            <w:tcBorders>
              <w:top w:val="nil"/>
              <w:left w:val="nil"/>
              <w:bottom w:val="nil"/>
              <w:right w:val="nil"/>
            </w:tcBorders>
            <w:shd w:val="clear" w:color="D9E1F2" w:fill="D9E1F2"/>
            <w:vAlign w:val="bottom"/>
            <w:hideMark/>
          </w:tcPr>
          <w:p w14:paraId="7B5D39EB"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Discusses value of LCA and upstream accounting for analysis of mitigation options</w:t>
            </w:r>
          </w:p>
        </w:tc>
        <w:tc>
          <w:tcPr>
            <w:tcW w:w="2016" w:type="dxa"/>
            <w:tcBorders>
              <w:top w:val="nil"/>
              <w:left w:val="nil"/>
              <w:bottom w:val="nil"/>
              <w:right w:val="nil"/>
            </w:tcBorders>
            <w:shd w:val="clear" w:color="D9E1F2" w:fill="D9E1F2"/>
            <w:vAlign w:val="bottom"/>
            <w:hideMark/>
          </w:tcPr>
          <w:p w14:paraId="4283DC2A"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Emissions by category treated in detail, e.g. Section 3.7 Natural Gas Systems.</w:t>
            </w:r>
          </w:p>
        </w:tc>
        <w:tc>
          <w:tcPr>
            <w:tcW w:w="2016" w:type="dxa"/>
            <w:tcBorders>
              <w:top w:val="nil"/>
              <w:left w:val="nil"/>
              <w:bottom w:val="nil"/>
              <w:right w:val="nil"/>
            </w:tcBorders>
            <w:shd w:val="clear" w:color="D9E1F2" w:fill="D9E1F2"/>
            <w:vAlign w:val="bottom"/>
            <w:hideMark/>
          </w:tcPr>
          <w:p w14:paraId="57A21165" w14:textId="0EEDD9D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Upstream </w:t>
            </w:r>
            <w:r w:rsidR="00EE0C6A" w:rsidRPr="009A412F">
              <w:rPr>
                <w:rFonts w:eastAsia="Times New Roman" w:cs="Calibri"/>
                <w:color w:val="305496"/>
                <w:sz w:val="22"/>
              </w:rPr>
              <w:t>mid-stream</w:t>
            </w:r>
            <w:r w:rsidRPr="009A412F">
              <w:rPr>
                <w:rFonts w:eastAsia="Times New Roman" w:cs="Calibri"/>
                <w:color w:val="305496"/>
                <w:sz w:val="22"/>
              </w:rPr>
              <w:t xml:space="preserve"> and </w:t>
            </w:r>
            <w:r w:rsidR="00EE0C6A" w:rsidRPr="009A412F">
              <w:rPr>
                <w:rFonts w:eastAsia="Times New Roman" w:cs="Calibri"/>
                <w:color w:val="305496"/>
                <w:sz w:val="22"/>
              </w:rPr>
              <w:t>downstream</w:t>
            </w:r>
            <w:r w:rsidRPr="009A412F">
              <w:rPr>
                <w:rFonts w:eastAsia="Times New Roman" w:cs="Calibri"/>
                <w:color w:val="305496"/>
                <w:sz w:val="22"/>
              </w:rPr>
              <w:t xml:space="preserve"> for gas but in state boundaries. Figure 13 Midstream contributions larger than up and down stream combined. NYSERDA separate Oil and Gas Methane Emissions Report.</w:t>
            </w:r>
          </w:p>
        </w:tc>
        <w:tc>
          <w:tcPr>
            <w:tcW w:w="2016" w:type="dxa"/>
            <w:tcBorders>
              <w:top w:val="nil"/>
              <w:left w:val="nil"/>
              <w:bottom w:val="nil"/>
              <w:right w:val="nil"/>
            </w:tcBorders>
            <w:shd w:val="clear" w:color="D9E1F2" w:fill="D9E1F2"/>
            <w:vAlign w:val="bottom"/>
            <w:hideMark/>
          </w:tcPr>
          <w:p w14:paraId="7F823D3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See above</w:t>
            </w:r>
          </w:p>
        </w:tc>
        <w:tc>
          <w:tcPr>
            <w:tcW w:w="2016" w:type="dxa"/>
            <w:tcBorders>
              <w:top w:val="nil"/>
              <w:left w:val="nil"/>
              <w:bottom w:val="nil"/>
              <w:right w:val="nil"/>
            </w:tcBorders>
            <w:shd w:val="clear" w:color="D9E1F2" w:fill="D9E1F2"/>
            <w:vAlign w:val="bottom"/>
            <w:hideMark/>
          </w:tcPr>
          <w:p w14:paraId="42741611" w14:textId="77777777" w:rsidR="00656C8C" w:rsidRPr="009A412F" w:rsidRDefault="00656C8C" w:rsidP="00E16D8A">
            <w:pPr>
              <w:spacing w:after="0" w:line="240" w:lineRule="auto"/>
              <w:rPr>
                <w:rFonts w:eastAsia="Times New Roman" w:cs="Calibri"/>
                <w:color w:val="305496"/>
                <w:sz w:val="22"/>
              </w:rPr>
            </w:pPr>
          </w:p>
        </w:tc>
      </w:tr>
      <w:tr w:rsidR="00656C8C" w:rsidRPr="009A412F" w14:paraId="43EE1B90" w14:textId="77777777" w:rsidTr="00273FC6">
        <w:trPr>
          <w:trHeight w:val="864"/>
          <w:jc w:val="center"/>
        </w:trPr>
        <w:tc>
          <w:tcPr>
            <w:tcW w:w="2016" w:type="dxa"/>
            <w:tcBorders>
              <w:top w:val="nil"/>
              <w:left w:val="nil"/>
              <w:bottom w:val="nil"/>
              <w:right w:val="nil"/>
            </w:tcBorders>
            <w:shd w:val="clear" w:color="auto" w:fill="auto"/>
            <w:noWrap/>
            <w:vAlign w:val="bottom"/>
            <w:hideMark/>
          </w:tcPr>
          <w:p w14:paraId="02AB907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Emissions Projections</w:t>
            </w:r>
          </w:p>
        </w:tc>
        <w:tc>
          <w:tcPr>
            <w:tcW w:w="2016" w:type="dxa"/>
            <w:tcBorders>
              <w:top w:val="nil"/>
              <w:left w:val="nil"/>
              <w:bottom w:val="nil"/>
              <w:right w:val="nil"/>
            </w:tcBorders>
            <w:shd w:val="clear" w:color="auto" w:fill="auto"/>
            <w:vAlign w:val="bottom"/>
            <w:hideMark/>
          </w:tcPr>
          <w:p w14:paraId="0AD19AAB" w14:textId="3746328E"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Short term 2018 and 2019 and </w:t>
            </w:r>
            <w:r w:rsidR="00EE0C6A" w:rsidRPr="009A412F">
              <w:rPr>
                <w:rFonts w:eastAsia="Times New Roman" w:cs="Calibri"/>
                <w:color w:val="305496"/>
                <w:sz w:val="22"/>
              </w:rPr>
              <w:t>5- and 10-year</w:t>
            </w:r>
            <w:r w:rsidRPr="009A412F">
              <w:rPr>
                <w:rFonts w:eastAsia="Times New Roman" w:cs="Calibri"/>
                <w:color w:val="305496"/>
                <w:sz w:val="22"/>
              </w:rPr>
              <w:t xml:space="preserve"> projections.  </w:t>
            </w:r>
          </w:p>
        </w:tc>
        <w:tc>
          <w:tcPr>
            <w:tcW w:w="2016" w:type="dxa"/>
            <w:tcBorders>
              <w:top w:val="nil"/>
              <w:left w:val="nil"/>
              <w:bottom w:val="nil"/>
              <w:right w:val="nil"/>
            </w:tcBorders>
            <w:shd w:val="clear" w:color="auto" w:fill="auto"/>
            <w:vAlign w:val="bottom"/>
            <w:hideMark/>
          </w:tcPr>
          <w:p w14:paraId="26275483"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included</w:t>
            </w:r>
          </w:p>
        </w:tc>
        <w:tc>
          <w:tcPr>
            <w:tcW w:w="2016" w:type="dxa"/>
            <w:tcBorders>
              <w:top w:val="nil"/>
              <w:left w:val="nil"/>
              <w:bottom w:val="nil"/>
              <w:right w:val="nil"/>
            </w:tcBorders>
            <w:shd w:val="clear" w:color="auto" w:fill="auto"/>
            <w:vAlign w:val="bottom"/>
            <w:hideMark/>
          </w:tcPr>
          <w:p w14:paraId="4DE1ED83"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auto" w:fill="auto"/>
            <w:vAlign w:val="bottom"/>
            <w:hideMark/>
          </w:tcPr>
          <w:p w14:paraId="6F61939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Estimated a 2020 BAU projection</w:t>
            </w:r>
          </w:p>
        </w:tc>
        <w:tc>
          <w:tcPr>
            <w:tcW w:w="2016" w:type="dxa"/>
            <w:tcBorders>
              <w:top w:val="nil"/>
              <w:left w:val="nil"/>
              <w:bottom w:val="nil"/>
              <w:right w:val="nil"/>
            </w:tcBorders>
            <w:shd w:val="clear" w:color="auto" w:fill="auto"/>
            <w:vAlign w:val="bottom"/>
            <w:hideMark/>
          </w:tcPr>
          <w:p w14:paraId="0D670316" w14:textId="77777777" w:rsidR="00656C8C" w:rsidRPr="009A412F" w:rsidRDefault="00656C8C" w:rsidP="00E16D8A">
            <w:pPr>
              <w:spacing w:after="0" w:line="240" w:lineRule="auto"/>
              <w:rPr>
                <w:rFonts w:eastAsia="Times New Roman" w:cs="Calibri"/>
                <w:color w:val="305496"/>
                <w:sz w:val="22"/>
              </w:rPr>
            </w:pPr>
          </w:p>
        </w:tc>
      </w:tr>
      <w:tr w:rsidR="00273FC6" w:rsidRPr="009A412F" w14:paraId="4996BBC3" w14:textId="77777777" w:rsidTr="00273FC6">
        <w:trPr>
          <w:trHeight w:val="2304"/>
          <w:jc w:val="center"/>
        </w:trPr>
        <w:tc>
          <w:tcPr>
            <w:tcW w:w="2016" w:type="dxa"/>
            <w:tcBorders>
              <w:top w:val="nil"/>
              <w:left w:val="nil"/>
              <w:bottom w:val="nil"/>
              <w:right w:val="nil"/>
            </w:tcBorders>
            <w:shd w:val="clear" w:color="D9E1F2" w:fill="D9E1F2"/>
            <w:noWrap/>
            <w:vAlign w:val="bottom"/>
            <w:hideMark/>
          </w:tcPr>
          <w:p w14:paraId="20A4427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Land Use, land use change, forestry</w:t>
            </w:r>
          </w:p>
        </w:tc>
        <w:tc>
          <w:tcPr>
            <w:tcW w:w="2016" w:type="dxa"/>
            <w:tcBorders>
              <w:top w:val="nil"/>
              <w:left w:val="nil"/>
              <w:bottom w:val="nil"/>
              <w:right w:val="nil"/>
            </w:tcBorders>
            <w:shd w:val="clear" w:color="D9E1F2" w:fill="D9E1F2"/>
            <w:vAlign w:val="bottom"/>
            <w:hideMark/>
          </w:tcPr>
          <w:p w14:paraId="5896E9A8"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Included as "additional emissions inventory consideration". Focuses exclusively on data for carbon fluxes related to forests</w:t>
            </w:r>
          </w:p>
        </w:tc>
        <w:tc>
          <w:tcPr>
            <w:tcW w:w="2016" w:type="dxa"/>
            <w:tcBorders>
              <w:top w:val="nil"/>
              <w:left w:val="nil"/>
              <w:bottom w:val="nil"/>
              <w:right w:val="nil"/>
            </w:tcBorders>
            <w:shd w:val="clear" w:color="D9E1F2" w:fill="D9E1F2"/>
            <w:vAlign w:val="bottom"/>
            <w:hideMark/>
          </w:tcPr>
          <w:p w14:paraId="308EB9B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Addressed in Section 6. Key category and trend analyses in Table 1-5 conducted with and without LULUCF sector. Reporting on gross and net with LULUCF in Figure 2.1. </w:t>
            </w:r>
          </w:p>
        </w:tc>
        <w:tc>
          <w:tcPr>
            <w:tcW w:w="2016" w:type="dxa"/>
            <w:tcBorders>
              <w:top w:val="nil"/>
              <w:left w:val="nil"/>
              <w:bottom w:val="nil"/>
              <w:right w:val="nil"/>
            </w:tcBorders>
            <w:shd w:val="clear" w:color="D9E1F2" w:fill="D9E1F2"/>
            <w:vAlign w:val="bottom"/>
            <w:hideMark/>
          </w:tcPr>
          <w:p w14:paraId="6E7823C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Not included</w:t>
            </w:r>
          </w:p>
        </w:tc>
        <w:tc>
          <w:tcPr>
            <w:tcW w:w="2016" w:type="dxa"/>
            <w:tcBorders>
              <w:top w:val="nil"/>
              <w:left w:val="nil"/>
              <w:bottom w:val="nil"/>
              <w:right w:val="nil"/>
            </w:tcBorders>
            <w:shd w:val="clear" w:color="D9E1F2" w:fill="D9E1F2"/>
            <w:vAlign w:val="bottom"/>
            <w:hideMark/>
          </w:tcPr>
          <w:p w14:paraId="1200A7B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Includes Agriculture &amp; Land Use as part of non-fuel combustion GHG emissions by sector</w:t>
            </w:r>
          </w:p>
        </w:tc>
        <w:tc>
          <w:tcPr>
            <w:tcW w:w="2016" w:type="dxa"/>
            <w:tcBorders>
              <w:top w:val="nil"/>
              <w:left w:val="nil"/>
              <w:bottom w:val="nil"/>
              <w:right w:val="nil"/>
            </w:tcBorders>
            <w:shd w:val="clear" w:color="D9E1F2" w:fill="D9E1F2"/>
            <w:vAlign w:val="bottom"/>
            <w:hideMark/>
          </w:tcPr>
          <w:p w14:paraId="3E2FC49E" w14:textId="65274AC8"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Not included to be consistent with international and national inventories.  Treated in separate </w:t>
            </w:r>
            <w:r w:rsidR="00EE0C6A" w:rsidRPr="009A412F">
              <w:rPr>
                <w:rFonts w:eastAsia="Times New Roman" w:cs="Calibri"/>
                <w:color w:val="305496"/>
                <w:sz w:val="22"/>
              </w:rPr>
              <w:t>report</w:t>
            </w:r>
            <w:r w:rsidRPr="009A412F">
              <w:rPr>
                <w:rFonts w:eastAsia="Times New Roman" w:cs="Calibri"/>
                <w:color w:val="305496"/>
                <w:sz w:val="22"/>
              </w:rPr>
              <w:t>: Natural and Working Lands Ecosystem Carbon Inventory.</w:t>
            </w:r>
          </w:p>
        </w:tc>
      </w:tr>
      <w:tr w:rsidR="00656C8C" w:rsidRPr="009A412F" w14:paraId="580316DF" w14:textId="77777777" w:rsidTr="00273FC6">
        <w:trPr>
          <w:trHeight w:val="1161"/>
          <w:jc w:val="center"/>
        </w:trPr>
        <w:tc>
          <w:tcPr>
            <w:tcW w:w="2016" w:type="dxa"/>
            <w:tcBorders>
              <w:top w:val="nil"/>
              <w:left w:val="nil"/>
              <w:bottom w:val="nil"/>
              <w:right w:val="nil"/>
            </w:tcBorders>
            <w:shd w:val="clear" w:color="auto" w:fill="auto"/>
            <w:noWrap/>
            <w:vAlign w:val="bottom"/>
            <w:hideMark/>
          </w:tcPr>
          <w:p w14:paraId="36AE03ED"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Waste Methods</w:t>
            </w:r>
          </w:p>
        </w:tc>
        <w:tc>
          <w:tcPr>
            <w:tcW w:w="2016" w:type="dxa"/>
            <w:tcBorders>
              <w:top w:val="nil"/>
              <w:left w:val="nil"/>
              <w:bottom w:val="nil"/>
              <w:right w:val="nil"/>
            </w:tcBorders>
            <w:shd w:val="clear" w:color="auto" w:fill="auto"/>
            <w:vAlign w:val="bottom"/>
            <w:hideMark/>
          </w:tcPr>
          <w:p w14:paraId="4CD97E01"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Includes CH4 and N2O from solid waste and wastewater</w:t>
            </w:r>
          </w:p>
        </w:tc>
        <w:tc>
          <w:tcPr>
            <w:tcW w:w="2016" w:type="dxa"/>
            <w:tcBorders>
              <w:top w:val="nil"/>
              <w:left w:val="nil"/>
              <w:bottom w:val="nil"/>
              <w:right w:val="nil"/>
            </w:tcBorders>
            <w:shd w:val="clear" w:color="auto" w:fill="auto"/>
            <w:vAlign w:val="bottom"/>
            <w:hideMark/>
          </w:tcPr>
          <w:p w14:paraId="4EC3BD36"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Section 7.</w:t>
            </w:r>
          </w:p>
        </w:tc>
        <w:tc>
          <w:tcPr>
            <w:tcW w:w="2016" w:type="dxa"/>
            <w:tcBorders>
              <w:top w:val="nil"/>
              <w:left w:val="nil"/>
              <w:bottom w:val="nil"/>
              <w:right w:val="nil"/>
            </w:tcBorders>
            <w:shd w:val="clear" w:color="auto" w:fill="auto"/>
            <w:vAlign w:val="bottom"/>
            <w:hideMark/>
          </w:tcPr>
          <w:p w14:paraId="463E9A1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Landfills and Wastewater, landfills account for gas to energy, flaring and capture.</w:t>
            </w:r>
          </w:p>
        </w:tc>
        <w:tc>
          <w:tcPr>
            <w:tcW w:w="2016" w:type="dxa"/>
            <w:tcBorders>
              <w:top w:val="nil"/>
              <w:left w:val="nil"/>
              <w:bottom w:val="nil"/>
              <w:right w:val="nil"/>
            </w:tcBorders>
            <w:shd w:val="clear" w:color="auto" w:fill="auto"/>
            <w:vAlign w:val="bottom"/>
            <w:hideMark/>
          </w:tcPr>
          <w:p w14:paraId="6AA9ECD2" w14:textId="7CDE898F"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Includes wastewater and municipal solid waste (landfills only) in non-fuel </w:t>
            </w:r>
            <w:r w:rsidRPr="009A412F">
              <w:rPr>
                <w:rFonts w:eastAsia="Times New Roman" w:cs="Calibri"/>
                <w:color w:val="305496"/>
                <w:sz w:val="22"/>
              </w:rPr>
              <w:lastRenderedPageBreak/>
              <w:t xml:space="preserve">combustion emissions by sector. Calculates CH4 and N20 emissions from disposal and treatment of municipal wastewater. Accounts for </w:t>
            </w:r>
            <w:r w:rsidR="00EE0C6A" w:rsidRPr="009A412F">
              <w:rPr>
                <w:rFonts w:eastAsia="Times New Roman" w:cs="Calibri"/>
                <w:color w:val="305496"/>
                <w:sz w:val="22"/>
              </w:rPr>
              <w:t>anaerobic</w:t>
            </w:r>
            <w:r w:rsidRPr="009A412F">
              <w:rPr>
                <w:rFonts w:eastAsia="Times New Roman" w:cs="Calibri"/>
                <w:color w:val="305496"/>
                <w:sz w:val="22"/>
              </w:rPr>
              <w:t xml:space="preserve"> digestors which capture and combust biogas for energy. Includes combustion of solid waste for industrial and electricity and combustion of landfill gas</w:t>
            </w:r>
          </w:p>
        </w:tc>
        <w:tc>
          <w:tcPr>
            <w:tcW w:w="2016" w:type="dxa"/>
            <w:tcBorders>
              <w:top w:val="nil"/>
              <w:left w:val="nil"/>
              <w:bottom w:val="nil"/>
              <w:right w:val="nil"/>
            </w:tcBorders>
            <w:shd w:val="clear" w:color="auto" w:fill="auto"/>
            <w:vAlign w:val="bottom"/>
            <w:hideMark/>
          </w:tcPr>
          <w:p w14:paraId="13EF2249"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 xml:space="preserve">Landfill emissions accounting for remaining degradable carbon and deposit trends.  </w:t>
            </w:r>
            <w:r w:rsidRPr="009A412F">
              <w:rPr>
                <w:rFonts w:eastAsia="Times New Roman" w:cs="Calibri"/>
                <w:color w:val="305496"/>
                <w:sz w:val="22"/>
              </w:rPr>
              <w:lastRenderedPageBreak/>
              <w:t xml:space="preserve">Accounts for methane capture and control systems. </w:t>
            </w:r>
          </w:p>
        </w:tc>
      </w:tr>
      <w:tr w:rsidR="00273FC6" w:rsidRPr="009A412F" w14:paraId="1BAE408F" w14:textId="77777777" w:rsidTr="00273FC6">
        <w:trPr>
          <w:trHeight w:val="5472"/>
          <w:jc w:val="center"/>
        </w:trPr>
        <w:tc>
          <w:tcPr>
            <w:tcW w:w="2016" w:type="dxa"/>
            <w:tcBorders>
              <w:top w:val="nil"/>
              <w:left w:val="nil"/>
              <w:bottom w:val="nil"/>
              <w:right w:val="nil"/>
            </w:tcBorders>
            <w:shd w:val="clear" w:color="D9E1F2" w:fill="D9E1F2"/>
            <w:noWrap/>
            <w:vAlign w:val="bottom"/>
            <w:hideMark/>
          </w:tcPr>
          <w:p w14:paraId="09914660"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Agriculture Methods</w:t>
            </w:r>
          </w:p>
        </w:tc>
        <w:tc>
          <w:tcPr>
            <w:tcW w:w="2016" w:type="dxa"/>
            <w:tcBorders>
              <w:top w:val="nil"/>
              <w:left w:val="nil"/>
              <w:bottom w:val="nil"/>
              <w:right w:val="nil"/>
            </w:tcBorders>
            <w:shd w:val="clear" w:color="D9E1F2" w:fill="D9E1F2"/>
            <w:vAlign w:val="bottom"/>
            <w:hideMark/>
          </w:tcPr>
          <w:p w14:paraId="254590CA" w14:textId="413EB2B8"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Includes emissions of CH4 and N2O from agricultural practices. CO2 in this sector is almost exclusively biogenic, and so not included in the sector totals (exception </w:t>
            </w:r>
            <w:r w:rsidR="00CF6EBF">
              <w:rPr>
                <w:rFonts w:eastAsia="Times New Roman" w:cs="Calibri"/>
                <w:color w:val="305496"/>
                <w:sz w:val="22"/>
              </w:rPr>
              <w:t xml:space="preserve">of </w:t>
            </w:r>
            <w:r w:rsidRPr="009A412F">
              <w:rPr>
                <w:rFonts w:eastAsia="Times New Roman" w:cs="Calibri"/>
                <w:color w:val="305496"/>
                <w:sz w:val="22"/>
              </w:rPr>
              <w:t>liming and urea fertilization). The subsectors of the agriculture sector include enteric fermentation, manure management, agricultural soils, rice cultivation, liming of soils, urea fertilization, and agricultural residue burning</w:t>
            </w:r>
          </w:p>
        </w:tc>
        <w:tc>
          <w:tcPr>
            <w:tcW w:w="2016" w:type="dxa"/>
            <w:tcBorders>
              <w:top w:val="nil"/>
              <w:left w:val="nil"/>
              <w:bottom w:val="nil"/>
              <w:right w:val="nil"/>
            </w:tcBorders>
            <w:shd w:val="clear" w:color="D9E1F2" w:fill="D9E1F2"/>
            <w:vAlign w:val="bottom"/>
            <w:hideMark/>
          </w:tcPr>
          <w:p w14:paraId="78D06CE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Section 5.</w:t>
            </w:r>
          </w:p>
        </w:tc>
        <w:tc>
          <w:tcPr>
            <w:tcW w:w="2016" w:type="dxa"/>
            <w:tcBorders>
              <w:top w:val="nil"/>
              <w:left w:val="nil"/>
              <w:bottom w:val="nil"/>
              <w:right w:val="nil"/>
            </w:tcBorders>
            <w:shd w:val="clear" w:color="D9E1F2" w:fill="D9E1F2"/>
            <w:vAlign w:val="bottom"/>
            <w:hideMark/>
          </w:tcPr>
          <w:p w14:paraId="6EEE9363" w14:textId="1D6B8C13"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Non combustion N20 and CH4 emissions.  Energy related Agriculture reported in other </w:t>
            </w:r>
            <w:r w:rsidR="00EE0C6A" w:rsidRPr="009A412F">
              <w:rPr>
                <w:rFonts w:eastAsia="Times New Roman" w:cs="Calibri"/>
                <w:color w:val="305496"/>
                <w:sz w:val="22"/>
              </w:rPr>
              <w:t>categories</w:t>
            </w:r>
            <w:r w:rsidRPr="009A412F">
              <w:rPr>
                <w:rFonts w:eastAsia="Times New Roman" w:cs="Calibri"/>
                <w:color w:val="305496"/>
                <w:sz w:val="22"/>
              </w:rPr>
              <w:t>.  Used state level data from National Inventory and SIT.  EPA DAYCENT for Ag. Soils.</w:t>
            </w:r>
          </w:p>
        </w:tc>
        <w:tc>
          <w:tcPr>
            <w:tcW w:w="2016" w:type="dxa"/>
            <w:tcBorders>
              <w:top w:val="nil"/>
              <w:left w:val="nil"/>
              <w:bottom w:val="nil"/>
              <w:right w:val="nil"/>
            </w:tcBorders>
            <w:shd w:val="clear" w:color="D9E1F2" w:fill="D9E1F2"/>
            <w:vAlign w:val="bottom"/>
            <w:hideMark/>
          </w:tcPr>
          <w:p w14:paraId="5199231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Includes Agriculture &amp; Land Use as part of non-fuel combustion GHG emissions by sector</w:t>
            </w:r>
          </w:p>
        </w:tc>
        <w:tc>
          <w:tcPr>
            <w:tcW w:w="2016" w:type="dxa"/>
            <w:tcBorders>
              <w:top w:val="nil"/>
              <w:left w:val="nil"/>
              <w:bottom w:val="nil"/>
              <w:right w:val="nil"/>
            </w:tcBorders>
            <w:shd w:val="clear" w:color="D9E1F2" w:fill="D9E1F2"/>
            <w:vAlign w:val="bottom"/>
            <w:hideMark/>
          </w:tcPr>
          <w:p w14:paraId="7AE4195F"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Includes energy consumption emissions for Agriculture, water pumping, heating cooling and processing in Ag. Sector.</w:t>
            </w:r>
          </w:p>
        </w:tc>
      </w:tr>
      <w:tr w:rsidR="00656C8C" w:rsidRPr="009A412F" w14:paraId="66182B55" w14:textId="77777777" w:rsidTr="00273FC6">
        <w:trPr>
          <w:trHeight w:val="2592"/>
          <w:jc w:val="center"/>
        </w:trPr>
        <w:tc>
          <w:tcPr>
            <w:tcW w:w="2016" w:type="dxa"/>
            <w:tcBorders>
              <w:top w:val="nil"/>
              <w:left w:val="nil"/>
              <w:bottom w:val="nil"/>
              <w:right w:val="nil"/>
            </w:tcBorders>
            <w:shd w:val="clear" w:color="auto" w:fill="auto"/>
            <w:noWrap/>
            <w:vAlign w:val="bottom"/>
            <w:hideMark/>
          </w:tcPr>
          <w:p w14:paraId="06EF68EC"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lastRenderedPageBreak/>
              <w:t>Transportation Methods</w:t>
            </w:r>
          </w:p>
        </w:tc>
        <w:tc>
          <w:tcPr>
            <w:tcW w:w="2016" w:type="dxa"/>
            <w:tcBorders>
              <w:top w:val="nil"/>
              <w:left w:val="nil"/>
              <w:bottom w:val="nil"/>
              <w:right w:val="nil"/>
            </w:tcBorders>
            <w:shd w:val="clear" w:color="auto" w:fill="auto"/>
            <w:vAlign w:val="bottom"/>
            <w:hideMark/>
          </w:tcPr>
          <w:p w14:paraId="2998D757"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Recently transitioned away from the triennial National Emissions Inventory (NEI) vehicle miles traveled (VMT) based values to a method based on fuel sales data, which is the method suggested by the IPCC</w:t>
            </w:r>
          </w:p>
        </w:tc>
        <w:tc>
          <w:tcPr>
            <w:tcW w:w="2016" w:type="dxa"/>
            <w:tcBorders>
              <w:top w:val="nil"/>
              <w:left w:val="nil"/>
              <w:bottom w:val="nil"/>
              <w:right w:val="nil"/>
            </w:tcBorders>
            <w:shd w:val="clear" w:color="auto" w:fill="auto"/>
            <w:vAlign w:val="bottom"/>
            <w:hideMark/>
          </w:tcPr>
          <w:p w14:paraId="6789E185"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Sales weighted fuel economy of new passenger vehicle sales Figure 3-15.  Discussed in Energy Section 3.</w:t>
            </w:r>
          </w:p>
        </w:tc>
        <w:tc>
          <w:tcPr>
            <w:tcW w:w="2016" w:type="dxa"/>
            <w:tcBorders>
              <w:top w:val="nil"/>
              <w:left w:val="nil"/>
              <w:bottom w:val="nil"/>
              <w:right w:val="nil"/>
            </w:tcBorders>
            <w:shd w:val="clear" w:color="auto" w:fill="auto"/>
            <w:vAlign w:val="bottom"/>
            <w:hideMark/>
          </w:tcPr>
          <w:p w14:paraId="2F9D9F02"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SIT mobile combustion module with state DOT and Federal Highway Administration data on VMT by vehicle type.</w:t>
            </w:r>
          </w:p>
        </w:tc>
        <w:tc>
          <w:tcPr>
            <w:tcW w:w="2016" w:type="dxa"/>
            <w:tcBorders>
              <w:top w:val="nil"/>
              <w:left w:val="nil"/>
              <w:bottom w:val="nil"/>
              <w:right w:val="nil"/>
            </w:tcBorders>
            <w:shd w:val="clear" w:color="auto" w:fill="auto"/>
            <w:vAlign w:val="bottom"/>
            <w:hideMark/>
          </w:tcPr>
          <w:p w14:paraId="4CE9D496" w14:textId="77777777" w:rsidR="00656C8C" w:rsidRPr="009A412F" w:rsidRDefault="00656C8C" w:rsidP="00E16D8A">
            <w:pPr>
              <w:spacing w:after="0" w:line="240" w:lineRule="auto"/>
              <w:rPr>
                <w:rFonts w:eastAsia="Times New Roman" w:cs="Calibri"/>
                <w:color w:val="305496"/>
                <w:sz w:val="22"/>
              </w:rPr>
            </w:pPr>
          </w:p>
        </w:tc>
        <w:tc>
          <w:tcPr>
            <w:tcW w:w="2016" w:type="dxa"/>
            <w:tcBorders>
              <w:top w:val="nil"/>
              <w:left w:val="nil"/>
              <w:bottom w:val="nil"/>
              <w:right w:val="nil"/>
            </w:tcBorders>
            <w:shd w:val="clear" w:color="auto" w:fill="auto"/>
            <w:vAlign w:val="bottom"/>
            <w:hideMark/>
          </w:tcPr>
          <w:p w14:paraId="418D558F" w14:textId="77777777" w:rsidR="00656C8C" w:rsidRPr="009A412F" w:rsidRDefault="00656C8C" w:rsidP="00E16D8A">
            <w:pPr>
              <w:spacing w:after="0" w:line="240" w:lineRule="auto"/>
              <w:rPr>
                <w:rFonts w:eastAsia="Times New Roman" w:cs="Calibri"/>
                <w:color w:val="305496"/>
                <w:sz w:val="22"/>
              </w:rPr>
            </w:pPr>
            <w:r w:rsidRPr="009A412F">
              <w:rPr>
                <w:rFonts w:eastAsia="Times New Roman" w:cs="Calibri"/>
                <w:color w:val="305496"/>
                <w:sz w:val="22"/>
              </w:rPr>
              <w:t xml:space="preserve">Tail pipe emissions - doesn't include petroleum extraction and refining which are counted in industrial (in-state).  Fuel purchases in state.  </w:t>
            </w:r>
          </w:p>
        </w:tc>
      </w:tr>
    </w:tbl>
    <w:p w14:paraId="112C64BC" w14:textId="1444B626" w:rsidR="00610CE3" w:rsidRDefault="00610CE3" w:rsidP="00530182">
      <w:pPr>
        <w:pStyle w:val="Heading2"/>
        <w:numPr>
          <w:ilvl w:val="0"/>
          <w:numId w:val="42"/>
        </w:numPr>
      </w:pPr>
      <w:bookmarkStart w:id="43" w:name="_Toc78869968"/>
      <w:r>
        <w:t>Key Category Analysis</w:t>
      </w:r>
      <w:bookmarkEnd w:id="43"/>
      <w:r>
        <w:t xml:space="preserve"> </w:t>
      </w:r>
    </w:p>
    <w:p w14:paraId="54676117" w14:textId="77777777" w:rsidR="00657831" w:rsidRDefault="00212F2E" w:rsidP="00D91440">
      <w:r>
        <w:t>Vermont</w:t>
      </w:r>
      <w:r w:rsidR="007B3B13">
        <w:t>’</w:t>
      </w:r>
      <w:r w:rsidR="00EA5237">
        <w:t>s</w:t>
      </w:r>
      <w:r w:rsidR="00CA5777">
        <w:t xml:space="preserve"> GHG inventory’s</w:t>
      </w:r>
      <w:r>
        <w:t xml:space="preserve"> </w:t>
      </w:r>
      <w:r w:rsidR="00EA5237">
        <w:t>k</w:t>
      </w:r>
      <w:r>
        <w:t xml:space="preserve">ey </w:t>
      </w:r>
      <w:r w:rsidR="00EA5237">
        <w:t>c</w:t>
      </w:r>
      <w:r>
        <w:t xml:space="preserve">ategories were </w:t>
      </w:r>
      <w:r w:rsidR="002B242D">
        <w:t>calculated a</w:t>
      </w:r>
      <w:r w:rsidR="00BC016A">
        <w:t xml:space="preserve">ccording to the </w:t>
      </w:r>
      <w:r w:rsidR="00462BA5" w:rsidRPr="00462BA5">
        <w:rPr>
          <w:i/>
          <w:iCs/>
        </w:rPr>
        <w:t>2019 Refinement to the 2006 IPCC Guidelines for National Greenhouse Gas Inventories</w:t>
      </w:r>
      <w:r w:rsidR="00462BA5">
        <w:rPr>
          <w:i/>
        </w:rPr>
        <w:t xml:space="preserve">, </w:t>
      </w:r>
      <w:r w:rsidR="002B242D">
        <w:rPr>
          <w:i/>
          <w:iCs/>
        </w:rPr>
        <w:t>Chapter 4 Methodological Choice and Identification of Key Categories.</w:t>
      </w:r>
      <w:r w:rsidR="002B242D">
        <w:t xml:space="preserve"> </w:t>
      </w:r>
      <w:r w:rsidR="00415D46">
        <w:t>This document defines k</w:t>
      </w:r>
      <w:r w:rsidR="001E6AD4">
        <w:t xml:space="preserve">ey categories </w:t>
      </w:r>
      <w:r w:rsidR="00D51328">
        <w:t xml:space="preserve">as, </w:t>
      </w:r>
      <w:r w:rsidR="00EA5237">
        <w:t>“</w:t>
      </w:r>
      <w:r w:rsidR="00D51328" w:rsidRPr="00D51328">
        <w:t>inventory categories which</w:t>
      </w:r>
      <w:r w:rsidR="00EA5237">
        <w:t>…</w:t>
      </w:r>
      <w:r w:rsidR="00D51328" w:rsidRPr="00D51328">
        <w:t xml:space="preserve"> are </w:t>
      </w:r>
      <w:proofErr w:type="spellStart"/>
      <w:r w:rsidR="00D51328" w:rsidRPr="00D51328">
        <w:t>prioritised</w:t>
      </w:r>
      <w:proofErr w:type="spellEnd"/>
      <w:r w:rsidR="00D51328" w:rsidRPr="00D51328">
        <w:t xml:space="preserve"> within the national inventory system because their estimates have a significant influence on a country’s total inventory of greenhouse gases in terms of the absolute level, the trend, or the level of uncertainty in emissions or removals.</w:t>
      </w:r>
      <w:r w:rsidR="00EA5237">
        <w:t>”</w:t>
      </w:r>
      <w:r w:rsidR="00EA5237">
        <w:rPr>
          <w:rStyle w:val="FootnoteReference"/>
        </w:rPr>
        <w:footnoteReference w:id="27"/>
      </w:r>
    </w:p>
    <w:p w14:paraId="29300EA4" w14:textId="77777777" w:rsidR="006928CC" w:rsidRDefault="005431AC" w:rsidP="00D91440">
      <w:pPr>
        <w:rPr>
          <w:b/>
          <w:bCs/>
        </w:rPr>
      </w:pPr>
      <w:r>
        <w:t xml:space="preserve">The consultant team took two approaches to </w:t>
      </w:r>
      <w:r w:rsidR="001806C2">
        <w:t>evaluating key categories</w:t>
      </w:r>
      <w:r w:rsidR="00126765">
        <w:t xml:space="preserve">: by scale and by trend assessment. </w:t>
      </w:r>
      <w:r w:rsidR="00143B8E">
        <w:t xml:space="preserve">To calculate scale, </w:t>
      </w:r>
      <w:r w:rsidR="001E10E1">
        <w:t xml:space="preserve">we divided </w:t>
      </w:r>
      <w:r w:rsidR="00745508">
        <w:t>the</w:t>
      </w:r>
      <w:r w:rsidR="00BD4B96">
        <w:t xml:space="preserve"> GHG emissions (MMTCO2e) </w:t>
      </w:r>
      <w:r w:rsidR="00745508">
        <w:t xml:space="preserve">of a source of emissions </w:t>
      </w:r>
      <w:r w:rsidR="00BD4B96">
        <w:t xml:space="preserve">in </w:t>
      </w:r>
      <w:r w:rsidR="00014B94">
        <w:t>a given</w:t>
      </w:r>
      <w:r w:rsidR="00BD4B96">
        <w:t xml:space="preserve"> year by the total GHG emissions that year.</w:t>
      </w:r>
      <w:r w:rsidR="00014B94">
        <w:t xml:space="preserve"> </w:t>
      </w:r>
      <w:r w:rsidR="00DB6B7F">
        <w:t xml:space="preserve">Any category ranking in the top largest 95% of categories by emissions in the state was determined to be a key category in that year. To calculate trend assessment, we calculated </w:t>
      </w:r>
      <w:r w:rsidR="00DB6B7F" w:rsidRPr="00CC6F81">
        <w:t xml:space="preserve">the change in </w:t>
      </w:r>
      <w:r w:rsidR="00DB6B7F">
        <w:t>the</w:t>
      </w:r>
      <w:r w:rsidR="00DB6B7F" w:rsidRPr="00CC6F81">
        <w:t xml:space="preserve"> category</w:t>
      </w:r>
      <w:r w:rsidR="00DB6B7F">
        <w:t>’s</w:t>
      </w:r>
      <w:r w:rsidR="00DB6B7F" w:rsidRPr="00CC6F81">
        <w:t xml:space="preserve"> emissions over time compared to the total trend</w:t>
      </w:r>
      <w:r w:rsidR="00DB6B7F">
        <w:t xml:space="preserve"> of </w:t>
      </w:r>
      <w:r w:rsidR="00DB6B7F" w:rsidRPr="002D37F2">
        <w:t>emissions. We then determined the contribution of the</w:t>
      </w:r>
      <w:r w:rsidR="00DB6B7F">
        <w:t xml:space="preserve"> category to the trend and ranked</w:t>
      </w:r>
      <w:r w:rsidR="00B31A84">
        <w:t xml:space="preserve"> the categories by greatest to least contribution to trend.</w:t>
      </w:r>
      <w:r w:rsidR="00702812" w:rsidRPr="00702812">
        <w:t xml:space="preserve"> </w:t>
      </w:r>
      <w:r w:rsidR="00702812">
        <w:t>A recommendation is to include</w:t>
      </w:r>
      <w:r w:rsidR="00657831">
        <w:t xml:space="preserve"> a key </w:t>
      </w:r>
      <w:r w:rsidR="00F31AAC">
        <w:t>categories</w:t>
      </w:r>
      <w:r w:rsidR="00152E0F">
        <w:t xml:space="preserve"> </w:t>
      </w:r>
      <w:r w:rsidR="00702812">
        <w:t xml:space="preserve">analysis </w:t>
      </w:r>
      <w:r w:rsidR="00152E0F">
        <w:t xml:space="preserve">for </w:t>
      </w:r>
      <w:r w:rsidR="00702812">
        <w:t>the</w:t>
      </w:r>
      <w:r w:rsidR="00DB6B7F">
        <w:t xml:space="preserve"> Vermont </w:t>
      </w:r>
      <w:r w:rsidR="00702812">
        <w:t>Inventory in the future</w:t>
      </w:r>
      <w:r w:rsidR="00DB6B7F">
        <w:t>.</w:t>
      </w:r>
      <w:r w:rsidR="007B3B13">
        <w:br/>
      </w:r>
    </w:p>
    <w:p w14:paraId="47900194" w14:textId="77777777" w:rsidR="006928CC" w:rsidRDefault="006928CC" w:rsidP="00D91440">
      <w:pPr>
        <w:rPr>
          <w:b/>
          <w:bCs/>
        </w:rPr>
      </w:pPr>
    </w:p>
    <w:p w14:paraId="5AFA023B" w14:textId="33AE7A21" w:rsidR="00D91440" w:rsidRDefault="00C02E8E" w:rsidP="00D91440">
      <w:pPr>
        <w:rPr>
          <w:b/>
        </w:rPr>
      </w:pPr>
      <w:r>
        <w:rPr>
          <w:b/>
          <w:bCs/>
        </w:rPr>
        <w:lastRenderedPageBreak/>
        <w:br/>
      </w:r>
      <w:r w:rsidRPr="003E23D0">
        <w:rPr>
          <w:sz w:val="32"/>
          <w:szCs w:val="32"/>
        </w:rPr>
        <w:t xml:space="preserve">Appendix Table </w:t>
      </w:r>
      <w:r>
        <w:rPr>
          <w:sz w:val="32"/>
          <w:szCs w:val="32"/>
        </w:rPr>
        <w:t>C</w:t>
      </w:r>
      <w:r w:rsidRPr="003E23D0">
        <w:rPr>
          <w:sz w:val="32"/>
          <w:szCs w:val="32"/>
        </w:rPr>
        <w:t>-</w:t>
      </w:r>
      <w:r>
        <w:rPr>
          <w:sz w:val="32"/>
          <w:szCs w:val="32"/>
        </w:rPr>
        <w:t>1</w:t>
      </w:r>
      <w:r w:rsidRPr="003E23D0">
        <w:rPr>
          <w:sz w:val="32"/>
          <w:szCs w:val="32"/>
        </w:rPr>
        <w:t>:</w:t>
      </w:r>
      <w:r w:rsidR="006A0765">
        <w:rPr>
          <w:sz w:val="32"/>
          <w:szCs w:val="32"/>
        </w:rPr>
        <w:t xml:space="preserve"> </w:t>
      </w:r>
      <w:r w:rsidRPr="003E23D0">
        <w:rPr>
          <w:sz w:val="32"/>
          <w:szCs w:val="32"/>
        </w:rPr>
        <w:t xml:space="preserve">Vermont </w:t>
      </w:r>
      <w:r>
        <w:rPr>
          <w:sz w:val="32"/>
          <w:szCs w:val="32"/>
        </w:rPr>
        <w:t>Key Category Analysis by Scale</w:t>
      </w:r>
    </w:p>
    <w:tbl>
      <w:tblPr>
        <w:tblW w:w="10525" w:type="dxa"/>
        <w:jc w:val="center"/>
        <w:tblLook w:val="04A0" w:firstRow="1" w:lastRow="0" w:firstColumn="1" w:lastColumn="0" w:noHBand="0" w:noVBand="1"/>
      </w:tblPr>
      <w:tblGrid>
        <w:gridCol w:w="3546"/>
        <w:gridCol w:w="1057"/>
        <w:gridCol w:w="1350"/>
        <w:gridCol w:w="1080"/>
        <w:gridCol w:w="1170"/>
        <w:gridCol w:w="1057"/>
        <w:gridCol w:w="1353"/>
      </w:tblGrid>
      <w:tr w:rsidR="00A51AB0" w:rsidRPr="00BE45CA" w14:paraId="0300F526" w14:textId="77777777" w:rsidTr="005A2D13">
        <w:trPr>
          <w:trHeight w:val="900"/>
          <w:jc w:val="center"/>
        </w:trPr>
        <w:tc>
          <w:tcPr>
            <w:tcW w:w="3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7AC0B" w14:textId="77777777" w:rsidR="00A51AB0" w:rsidRPr="00BE45CA" w:rsidRDefault="00A51AB0" w:rsidP="005A2D13">
            <w:pPr>
              <w:spacing w:after="0" w:line="240" w:lineRule="auto"/>
              <w:jc w:val="center"/>
              <w:rPr>
                <w:rFonts w:eastAsia="Times New Roman" w:cs="Calibri"/>
                <w:b/>
                <w:bCs/>
                <w:color w:val="auto"/>
                <w:sz w:val="36"/>
                <w:szCs w:val="36"/>
              </w:rPr>
            </w:pPr>
            <w:r w:rsidRPr="00BE45CA">
              <w:rPr>
                <w:rFonts w:eastAsia="Times New Roman" w:cs="Calibri"/>
                <w:b/>
                <w:bCs/>
                <w:color w:val="auto"/>
                <w:sz w:val="36"/>
                <w:szCs w:val="36"/>
              </w:rPr>
              <w:t>Sector</w:t>
            </w:r>
          </w:p>
        </w:tc>
        <w:tc>
          <w:tcPr>
            <w:tcW w:w="1039" w:type="dxa"/>
            <w:tcBorders>
              <w:top w:val="single" w:sz="4" w:space="0" w:color="auto"/>
              <w:left w:val="nil"/>
              <w:bottom w:val="single" w:sz="4" w:space="0" w:color="auto"/>
              <w:right w:val="single" w:sz="4" w:space="0" w:color="auto"/>
            </w:tcBorders>
            <w:shd w:val="clear" w:color="auto" w:fill="auto"/>
            <w:noWrap/>
            <w:vAlign w:val="bottom"/>
            <w:hideMark/>
          </w:tcPr>
          <w:p w14:paraId="598FE31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Scale 1990</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00087D1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Key Category in 1990?</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0B3C5F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Scale 2005</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6BBEF3D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Key Category in 2005?</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14:paraId="179E704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Scale 2019</w:t>
            </w:r>
          </w:p>
        </w:tc>
        <w:tc>
          <w:tcPr>
            <w:tcW w:w="1353" w:type="dxa"/>
            <w:tcBorders>
              <w:top w:val="single" w:sz="4" w:space="0" w:color="auto"/>
              <w:left w:val="nil"/>
              <w:bottom w:val="single" w:sz="4" w:space="0" w:color="auto"/>
              <w:right w:val="single" w:sz="4" w:space="0" w:color="auto"/>
            </w:tcBorders>
            <w:shd w:val="clear" w:color="auto" w:fill="auto"/>
            <w:vAlign w:val="bottom"/>
            <w:hideMark/>
          </w:tcPr>
          <w:p w14:paraId="34462B8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Key Category in 2019?</w:t>
            </w:r>
          </w:p>
        </w:tc>
      </w:tr>
      <w:tr w:rsidR="00A51AB0" w:rsidRPr="00BE45CA" w14:paraId="0788ABBF"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vAlign w:val="bottom"/>
            <w:hideMark/>
          </w:tcPr>
          <w:p w14:paraId="56C96621"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Electricity Supply &amp; Demand (Consumption - based)</w:t>
            </w:r>
          </w:p>
        </w:tc>
        <w:tc>
          <w:tcPr>
            <w:tcW w:w="1039" w:type="dxa"/>
            <w:tcBorders>
              <w:top w:val="nil"/>
              <w:left w:val="nil"/>
              <w:bottom w:val="single" w:sz="4" w:space="0" w:color="auto"/>
              <w:right w:val="single" w:sz="4" w:space="0" w:color="auto"/>
            </w:tcBorders>
            <w:shd w:val="clear" w:color="auto" w:fill="auto"/>
            <w:vAlign w:val="bottom"/>
            <w:hideMark/>
          </w:tcPr>
          <w:p w14:paraId="075FEA18"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vAlign w:val="bottom"/>
            <w:hideMark/>
          </w:tcPr>
          <w:p w14:paraId="05A446A1"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080" w:type="dxa"/>
            <w:tcBorders>
              <w:top w:val="nil"/>
              <w:left w:val="nil"/>
              <w:bottom w:val="single" w:sz="4" w:space="0" w:color="auto"/>
              <w:right w:val="single" w:sz="4" w:space="0" w:color="auto"/>
            </w:tcBorders>
            <w:shd w:val="clear" w:color="auto" w:fill="auto"/>
            <w:vAlign w:val="bottom"/>
            <w:hideMark/>
          </w:tcPr>
          <w:p w14:paraId="0A3652E7"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vAlign w:val="bottom"/>
            <w:hideMark/>
          </w:tcPr>
          <w:p w14:paraId="6117152C"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987" w:type="dxa"/>
            <w:tcBorders>
              <w:top w:val="nil"/>
              <w:left w:val="nil"/>
              <w:bottom w:val="single" w:sz="4" w:space="0" w:color="auto"/>
              <w:right w:val="single" w:sz="4" w:space="0" w:color="auto"/>
            </w:tcBorders>
            <w:shd w:val="clear" w:color="auto" w:fill="auto"/>
            <w:noWrap/>
            <w:vAlign w:val="bottom"/>
            <w:hideMark/>
          </w:tcPr>
          <w:p w14:paraId="4D942E1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48B94B4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5E5272C1"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1317B88"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Coal- Electricity Supply &amp; Demand (Consumption - based)</w:t>
            </w:r>
          </w:p>
        </w:tc>
        <w:tc>
          <w:tcPr>
            <w:tcW w:w="1039" w:type="dxa"/>
            <w:tcBorders>
              <w:top w:val="nil"/>
              <w:left w:val="nil"/>
              <w:bottom w:val="single" w:sz="4" w:space="0" w:color="auto"/>
              <w:right w:val="single" w:sz="4" w:space="0" w:color="auto"/>
            </w:tcBorders>
            <w:shd w:val="clear" w:color="auto" w:fill="auto"/>
            <w:noWrap/>
            <w:vAlign w:val="bottom"/>
            <w:hideMark/>
          </w:tcPr>
          <w:p w14:paraId="025CCC4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350" w:type="dxa"/>
            <w:tcBorders>
              <w:top w:val="nil"/>
              <w:left w:val="nil"/>
              <w:bottom w:val="single" w:sz="4" w:space="0" w:color="auto"/>
              <w:right w:val="single" w:sz="4" w:space="0" w:color="auto"/>
            </w:tcBorders>
            <w:shd w:val="clear" w:color="auto" w:fill="auto"/>
            <w:noWrap/>
            <w:vAlign w:val="bottom"/>
            <w:hideMark/>
          </w:tcPr>
          <w:p w14:paraId="3D15784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7BB4871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170" w:type="dxa"/>
            <w:tcBorders>
              <w:top w:val="nil"/>
              <w:left w:val="nil"/>
              <w:bottom w:val="single" w:sz="4" w:space="0" w:color="auto"/>
              <w:right w:val="single" w:sz="4" w:space="0" w:color="auto"/>
            </w:tcBorders>
            <w:shd w:val="clear" w:color="auto" w:fill="auto"/>
            <w:noWrap/>
            <w:vAlign w:val="bottom"/>
            <w:hideMark/>
          </w:tcPr>
          <w:p w14:paraId="57AECCB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67F0D9E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1DE4670F"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0E5E5A46"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C093AD2" w14:textId="77777777" w:rsidR="00A51AB0" w:rsidRPr="00BE45CA" w:rsidRDefault="00A51AB0" w:rsidP="005A2D13">
            <w:pPr>
              <w:spacing w:after="0" w:line="240" w:lineRule="auto"/>
              <w:rPr>
                <w:rFonts w:eastAsia="Times New Roman" w:cs="Calibri"/>
                <w:color w:val="auto"/>
              </w:rPr>
            </w:pPr>
            <w:bookmarkStart w:id="44" w:name="RANGE!C5"/>
            <w:r w:rsidRPr="00BE45CA">
              <w:rPr>
                <w:rFonts w:eastAsia="Times New Roman" w:cs="Calibri"/>
                <w:color w:val="auto"/>
              </w:rPr>
              <w:t>Natural Gas- Electricity Supply &amp; Demand (Consumption - based)</w:t>
            </w:r>
            <w:bookmarkEnd w:id="44"/>
          </w:p>
        </w:tc>
        <w:tc>
          <w:tcPr>
            <w:tcW w:w="1039" w:type="dxa"/>
            <w:tcBorders>
              <w:top w:val="nil"/>
              <w:left w:val="nil"/>
              <w:bottom w:val="single" w:sz="4" w:space="0" w:color="auto"/>
              <w:right w:val="single" w:sz="4" w:space="0" w:color="auto"/>
            </w:tcBorders>
            <w:shd w:val="clear" w:color="auto" w:fill="auto"/>
            <w:noWrap/>
            <w:vAlign w:val="bottom"/>
            <w:hideMark/>
          </w:tcPr>
          <w:p w14:paraId="29224290"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0.539%</w:t>
            </w:r>
          </w:p>
        </w:tc>
        <w:tc>
          <w:tcPr>
            <w:tcW w:w="1350" w:type="dxa"/>
            <w:tcBorders>
              <w:top w:val="nil"/>
              <w:left w:val="nil"/>
              <w:bottom w:val="single" w:sz="4" w:space="0" w:color="auto"/>
              <w:right w:val="single" w:sz="4" w:space="0" w:color="auto"/>
            </w:tcBorders>
            <w:shd w:val="clear" w:color="auto" w:fill="auto"/>
            <w:noWrap/>
            <w:vAlign w:val="bottom"/>
            <w:hideMark/>
          </w:tcPr>
          <w:p w14:paraId="2260519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642738C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0.003%</w:t>
            </w:r>
          </w:p>
        </w:tc>
        <w:tc>
          <w:tcPr>
            <w:tcW w:w="1170" w:type="dxa"/>
            <w:tcBorders>
              <w:top w:val="nil"/>
              <w:left w:val="nil"/>
              <w:bottom w:val="single" w:sz="4" w:space="0" w:color="auto"/>
              <w:right w:val="single" w:sz="4" w:space="0" w:color="auto"/>
            </w:tcBorders>
            <w:shd w:val="clear" w:color="auto" w:fill="auto"/>
            <w:noWrap/>
            <w:vAlign w:val="bottom"/>
            <w:hideMark/>
          </w:tcPr>
          <w:p w14:paraId="4FB99D6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1ED86F55"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7033CD7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1A251896"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4B9F5A3"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Oil- Electricity Supply &amp; Demand (Consumption - based)</w:t>
            </w:r>
          </w:p>
        </w:tc>
        <w:tc>
          <w:tcPr>
            <w:tcW w:w="1039" w:type="dxa"/>
            <w:tcBorders>
              <w:top w:val="nil"/>
              <w:left w:val="nil"/>
              <w:bottom w:val="single" w:sz="4" w:space="0" w:color="auto"/>
              <w:right w:val="single" w:sz="4" w:space="0" w:color="auto"/>
            </w:tcBorders>
            <w:shd w:val="clear" w:color="auto" w:fill="auto"/>
            <w:noWrap/>
            <w:vAlign w:val="bottom"/>
            <w:hideMark/>
          </w:tcPr>
          <w:p w14:paraId="7D114F9E"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0.163%</w:t>
            </w:r>
          </w:p>
        </w:tc>
        <w:tc>
          <w:tcPr>
            <w:tcW w:w="1350" w:type="dxa"/>
            <w:tcBorders>
              <w:top w:val="nil"/>
              <w:left w:val="nil"/>
              <w:bottom w:val="single" w:sz="4" w:space="0" w:color="auto"/>
              <w:right w:val="single" w:sz="4" w:space="0" w:color="auto"/>
            </w:tcBorders>
            <w:shd w:val="clear" w:color="auto" w:fill="auto"/>
            <w:noWrap/>
            <w:vAlign w:val="bottom"/>
            <w:hideMark/>
          </w:tcPr>
          <w:p w14:paraId="1C2865B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4D23CE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0.110%</w:t>
            </w:r>
          </w:p>
        </w:tc>
        <w:tc>
          <w:tcPr>
            <w:tcW w:w="1170" w:type="dxa"/>
            <w:tcBorders>
              <w:top w:val="nil"/>
              <w:left w:val="nil"/>
              <w:bottom w:val="single" w:sz="4" w:space="0" w:color="auto"/>
              <w:right w:val="single" w:sz="4" w:space="0" w:color="auto"/>
            </w:tcBorders>
            <w:shd w:val="clear" w:color="auto" w:fill="auto"/>
            <w:noWrap/>
            <w:vAlign w:val="bottom"/>
            <w:hideMark/>
          </w:tcPr>
          <w:p w14:paraId="2077183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13E9264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726EA7B7"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674779F0"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C2CE4C6"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Wood (CH</w:t>
            </w:r>
            <w:r w:rsidRPr="00BE45CA">
              <w:rPr>
                <w:rFonts w:eastAsia="Times New Roman" w:cs="Calibri"/>
                <w:color w:val="auto"/>
                <w:vertAlign w:val="subscript"/>
              </w:rPr>
              <w:t>4</w:t>
            </w:r>
            <w:r w:rsidRPr="00BE45CA">
              <w:rPr>
                <w:rFonts w:eastAsia="Times New Roman" w:cs="Calibri"/>
                <w:color w:val="auto"/>
              </w:rPr>
              <w:t>, N</w:t>
            </w:r>
            <w:r w:rsidRPr="00BE45CA">
              <w:rPr>
                <w:rFonts w:eastAsia="Times New Roman" w:cs="Calibri"/>
                <w:color w:val="auto"/>
                <w:vertAlign w:val="subscript"/>
              </w:rPr>
              <w:t>2</w:t>
            </w:r>
            <w:r w:rsidRPr="00BE45CA">
              <w:rPr>
                <w:rFonts w:eastAsia="Times New Roman" w:cs="Calibri"/>
                <w:color w:val="auto"/>
              </w:rPr>
              <w:t>O)- Electricity Supply &amp; Demand (Consumption - based)</w:t>
            </w:r>
          </w:p>
        </w:tc>
        <w:tc>
          <w:tcPr>
            <w:tcW w:w="1039" w:type="dxa"/>
            <w:tcBorders>
              <w:top w:val="nil"/>
              <w:left w:val="nil"/>
              <w:bottom w:val="single" w:sz="4" w:space="0" w:color="auto"/>
              <w:right w:val="single" w:sz="4" w:space="0" w:color="auto"/>
            </w:tcBorders>
            <w:shd w:val="clear" w:color="auto" w:fill="auto"/>
            <w:noWrap/>
            <w:vAlign w:val="bottom"/>
            <w:hideMark/>
          </w:tcPr>
          <w:p w14:paraId="01512ED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0.032%</w:t>
            </w:r>
          </w:p>
        </w:tc>
        <w:tc>
          <w:tcPr>
            <w:tcW w:w="1350" w:type="dxa"/>
            <w:tcBorders>
              <w:top w:val="nil"/>
              <w:left w:val="nil"/>
              <w:bottom w:val="single" w:sz="4" w:space="0" w:color="auto"/>
              <w:right w:val="single" w:sz="4" w:space="0" w:color="auto"/>
            </w:tcBorders>
            <w:shd w:val="clear" w:color="auto" w:fill="auto"/>
            <w:noWrap/>
            <w:vAlign w:val="bottom"/>
            <w:hideMark/>
          </w:tcPr>
          <w:p w14:paraId="227E965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6D5A763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0.140%</w:t>
            </w:r>
          </w:p>
        </w:tc>
        <w:tc>
          <w:tcPr>
            <w:tcW w:w="1170" w:type="dxa"/>
            <w:tcBorders>
              <w:top w:val="nil"/>
              <w:left w:val="nil"/>
              <w:bottom w:val="single" w:sz="4" w:space="0" w:color="auto"/>
              <w:right w:val="single" w:sz="4" w:space="0" w:color="auto"/>
            </w:tcBorders>
            <w:shd w:val="clear" w:color="auto" w:fill="auto"/>
            <w:noWrap/>
            <w:vAlign w:val="bottom"/>
            <w:hideMark/>
          </w:tcPr>
          <w:p w14:paraId="42756BC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2DB4095C"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0.142%</w:t>
            </w:r>
          </w:p>
        </w:tc>
        <w:tc>
          <w:tcPr>
            <w:tcW w:w="1353" w:type="dxa"/>
            <w:tcBorders>
              <w:top w:val="nil"/>
              <w:left w:val="nil"/>
              <w:bottom w:val="single" w:sz="4" w:space="0" w:color="auto"/>
              <w:right w:val="single" w:sz="4" w:space="0" w:color="auto"/>
            </w:tcBorders>
            <w:shd w:val="clear" w:color="auto" w:fill="auto"/>
            <w:noWrap/>
            <w:vAlign w:val="bottom"/>
            <w:hideMark/>
          </w:tcPr>
          <w:p w14:paraId="6ED7C90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67E189F5"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C1DE426"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Residual System Mix- Electricity Supply &amp; Demand (Consumption - based)</w:t>
            </w:r>
          </w:p>
        </w:tc>
        <w:tc>
          <w:tcPr>
            <w:tcW w:w="1039" w:type="dxa"/>
            <w:tcBorders>
              <w:top w:val="nil"/>
              <w:left w:val="nil"/>
              <w:bottom w:val="single" w:sz="4" w:space="0" w:color="auto"/>
              <w:right w:val="single" w:sz="4" w:space="0" w:color="auto"/>
            </w:tcBorders>
            <w:shd w:val="clear" w:color="auto" w:fill="auto"/>
            <w:noWrap/>
            <w:vAlign w:val="bottom"/>
            <w:hideMark/>
          </w:tcPr>
          <w:p w14:paraId="61C65839"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11.884%</w:t>
            </w:r>
          </w:p>
        </w:tc>
        <w:tc>
          <w:tcPr>
            <w:tcW w:w="1350" w:type="dxa"/>
            <w:tcBorders>
              <w:top w:val="nil"/>
              <w:left w:val="nil"/>
              <w:bottom w:val="single" w:sz="4" w:space="0" w:color="auto"/>
              <w:right w:val="single" w:sz="4" w:space="0" w:color="auto"/>
            </w:tcBorders>
            <w:shd w:val="clear" w:color="auto" w:fill="auto"/>
            <w:noWrap/>
            <w:vAlign w:val="bottom"/>
            <w:hideMark/>
          </w:tcPr>
          <w:p w14:paraId="11337B6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7F12833F"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6.177%</w:t>
            </w:r>
          </w:p>
        </w:tc>
        <w:tc>
          <w:tcPr>
            <w:tcW w:w="1170" w:type="dxa"/>
            <w:tcBorders>
              <w:top w:val="nil"/>
              <w:left w:val="nil"/>
              <w:bottom w:val="single" w:sz="4" w:space="0" w:color="auto"/>
              <w:right w:val="single" w:sz="4" w:space="0" w:color="auto"/>
            </w:tcBorders>
            <w:shd w:val="clear" w:color="auto" w:fill="auto"/>
            <w:noWrap/>
            <w:vAlign w:val="bottom"/>
            <w:hideMark/>
          </w:tcPr>
          <w:p w14:paraId="0441FDC1"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72B07DF2"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1.337%</w:t>
            </w:r>
          </w:p>
        </w:tc>
        <w:tc>
          <w:tcPr>
            <w:tcW w:w="1353" w:type="dxa"/>
            <w:tcBorders>
              <w:top w:val="nil"/>
              <w:left w:val="nil"/>
              <w:bottom w:val="single" w:sz="4" w:space="0" w:color="auto"/>
              <w:right w:val="single" w:sz="4" w:space="0" w:color="auto"/>
            </w:tcBorders>
            <w:shd w:val="clear" w:color="auto" w:fill="auto"/>
            <w:noWrap/>
            <w:vAlign w:val="bottom"/>
            <w:hideMark/>
          </w:tcPr>
          <w:p w14:paraId="77DCACE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0FEEF3D3"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vAlign w:val="bottom"/>
            <w:hideMark/>
          </w:tcPr>
          <w:p w14:paraId="527661D5"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Residential/ Commercial/ Industrial (RCI) Fuel Use</w:t>
            </w:r>
          </w:p>
        </w:tc>
        <w:tc>
          <w:tcPr>
            <w:tcW w:w="1039" w:type="dxa"/>
            <w:tcBorders>
              <w:top w:val="nil"/>
              <w:left w:val="nil"/>
              <w:bottom w:val="single" w:sz="4" w:space="0" w:color="auto"/>
              <w:right w:val="single" w:sz="4" w:space="0" w:color="auto"/>
            </w:tcBorders>
            <w:shd w:val="clear" w:color="auto" w:fill="auto"/>
            <w:vAlign w:val="bottom"/>
            <w:hideMark/>
          </w:tcPr>
          <w:p w14:paraId="2293FC73"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224899F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5647C943"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1B00E71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0CADDF02"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0551030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37182C1E"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D0CA0EB"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Coal- Residential/ Commercial/ Industrial (RCI) Fuel Use</w:t>
            </w:r>
          </w:p>
        </w:tc>
        <w:tc>
          <w:tcPr>
            <w:tcW w:w="1039" w:type="dxa"/>
            <w:tcBorders>
              <w:top w:val="nil"/>
              <w:left w:val="nil"/>
              <w:bottom w:val="single" w:sz="4" w:space="0" w:color="auto"/>
              <w:right w:val="single" w:sz="4" w:space="0" w:color="auto"/>
            </w:tcBorders>
            <w:shd w:val="clear" w:color="auto" w:fill="auto"/>
            <w:noWrap/>
            <w:vAlign w:val="bottom"/>
            <w:hideMark/>
          </w:tcPr>
          <w:p w14:paraId="48864B3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0.244%</w:t>
            </w:r>
          </w:p>
        </w:tc>
        <w:tc>
          <w:tcPr>
            <w:tcW w:w="1350" w:type="dxa"/>
            <w:tcBorders>
              <w:top w:val="nil"/>
              <w:left w:val="nil"/>
              <w:bottom w:val="single" w:sz="4" w:space="0" w:color="auto"/>
              <w:right w:val="single" w:sz="4" w:space="0" w:color="auto"/>
            </w:tcBorders>
            <w:shd w:val="clear" w:color="auto" w:fill="auto"/>
            <w:noWrap/>
            <w:vAlign w:val="bottom"/>
            <w:hideMark/>
          </w:tcPr>
          <w:p w14:paraId="6300296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841965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0.026%</w:t>
            </w:r>
          </w:p>
        </w:tc>
        <w:tc>
          <w:tcPr>
            <w:tcW w:w="1170" w:type="dxa"/>
            <w:tcBorders>
              <w:top w:val="nil"/>
              <w:left w:val="nil"/>
              <w:bottom w:val="single" w:sz="4" w:space="0" w:color="auto"/>
              <w:right w:val="single" w:sz="4" w:space="0" w:color="auto"/>
            </w:tcBorders>
            <w:shd w:val="clear" w:color="auto" w:fill="auto"/>
            <w:noWrap/>
            <w:vAlign w:val="bottom"/>
            <w:hideMark/>
          </w:tcPr>
          <w:p w14:paraId="2731180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217322D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353" w:type="dxa"/>
            <w:tcBorders>
              <w:top w:val="nil"/>
              <w:left w:val="nil"/>
              <w:bottom w:val="single" w:sz="4" w:space="0" w:color="auto"/>
              <w:right w:val="single" w:sz="4" w:space="0" w:color="auto"/>
            </w:tcBorders>
            <w:shd w:val="clear" w:color="auto" w:fill="auto"/>
            <w:noWrap/>
            <w:vAlign w:val="bottom"/>
            <w:hideMark/>
          </w:tcPr>
          <w:p w14:paraId="590BDC8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6309855D"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5614527" w14:textId="77777777" w:rsidR="00A51AB0" w:rsidRPr="00BE45CA" w:rsidRDefault="00A51AB0" w:rsidP="005A2D13">
            <w:pPr>
              <w:spacing w:after="0" w:line="240" w:lineRule="auto"/>
              <w:rPr>
                <w:rFonts w:eastAsia="Times New Roman" w:cs="Calibri"/>
                <w:color w:val="auto"/>
              </w:rPr>
            </w:pPr>
            <w:bookmarkStart w:id="45" w:name="RANGE!C11"/>
            <w:r w:rsidRPr="00BE45CA">
              <w:rPr>
                <w:rFonts w:eastAsia="Times New Roman" w:cs="Calibri"/>
                <w:color w:val="auto"/>
              </w:rPr>
              <w:t>Natural Gas- Residential/ Commercial/ Industrial (RCI) Fuel Use</w:t>
            </w:r>
            <w:bookmarkEnd w:id="45"/>
          </w:p>
        </w:tc>
        <w:tc>
          <w:tcPr>
            <w:tcW w:w="1039" w:type="dxa"/>
            <w:tcBorders>
              <w:top w:val="nil"/>
              <w:left w:val="nil"/>
              <w:bottom w:val="single" w:sz="4" w:space="0" w:color="auto"/>
              <w:right w:val="single" w:sz="4" w:space="0" w:color="auto"/>
            </w:tcBorders>
            <w:shd w:val="clear" w:color="auto" w:fill="auto"/>
            <w:noWrap/>
            <w:vAlign w:val="bottom"/>
            <w:hideMark/>
          </w:tcPr>
          <w:p w14:paraId="6FA6C33B"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3.649%</w:t>
            </w:r>
          </w:p>
        </w:tc>
        <w:tc>
          <w:tcPr>
            <w:tcW w:w="1350" w:type="dxa"/>
            <w:tcBorders>
              <w:top w:val="nil"/>
              <w:left w:val="nil"/>
              <w:bottom w:val="single" w:sz="4" w:space="0" w:color="auto"/>
              <w:right w:val="single" w:sz="4" w:space="0" w:color="auto"/>
            </w:tcBorders>
            <w:shd w:val="clear" w:color="auto" w:fill="auto"/>
            <w:noWrap/>
            <w:vAlign w:val="bottom"/>
            <w:hideMark/>
          </w:tcPr>
          <w:p w14:paraId="6B9C9502"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710D6130"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4.428%</w:t>
            </w:r>
          </w:p>
        </w:tc>
        <w:tc>
          <w:tcPr>
            <w:tcW w:w="1170" w:type="dxa"/>
            <w:tcBorders>
              <w:top w:val="nil"/>
              <w:left w:val="nil"/>
              <w:bottom w:val="single" w:sz="4" w:space="0" w:color="auto"/>
              <w:right w:val="single" w:sz="4" w:space="0" w:color="auto"/>
            </w:tcBorders>
            <w:shd w:val="clear" w:color="auto" w:fill="auto"/>
            <w:noWrap/>
            <w:vAlign w:val="bottom"/>
            <w:hideMark/>
          </w:tcPr>
          <w:p w14:paraId="29566B32"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735B2145"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8.753%</w:t>
            </w:r>
          </w:p>
        </w:tc>
        <w:tc>
          <w:tcPr>
            <w:tcW w:w="1353" w:type="dxa"/>
            <w:tcBorders>
              <w:top w:val="nil"/>
              <w:left w:val="nil"/>
              <w:bottom w:val="single" w:sz="4" w:space="0" w:color="auto"/>
              <w:right w:val="single" w:sz="4" w:space="0" w:color="auto"/>
            </w:tcBorders>
            <w:shd w:val="clear" w:color="auto" w:fill="auto"/>
            <w:noWrap/>
            <w:vAlign w:val="bottom"/>
            <w:hideMark/>
          </w:tcPr>
          <w:p w14:paraId="0A18588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08B713BF"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7F4E3BD0"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Oil, Propane, &amp; Other Petroleum- Residential/ Commercial/ Industrial (RCI) Fuel Use</w:t>
            </w:r>
          </w:p>
        </w:tc>
        <w:tc>
          <w:tcPr>
            <w:tcW w:w="1039" w:type="dxa"/>
            <w:tcBorders>
              <w:top w:val="nil"/>
              <w:left w:val="nil"/>
              <w:bottom w:val="single" w:sz="4" w:space="0" w:color="auto"/>
              <w:right w:val="single" w:sz="4" w:space="0" w:color="auto"/>
            </w:tcBorders>
            <w:shd w:val="clear" w:color="auto" w:fill="auto"/>
            <w:noWrap/>
            <w:vAlign w:val="bottom"/>
            <w:hideMark/>
          </w:tcPr>
          <w:p w14:paraId="7759A481"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24.492%</w:t>
            </w:r>
          </w:p>
        </w:tc>
        <w:tc>
          <w:tcPr>
            <w:tcW w:w="1350" w:type="dxa"/>
            <w:tcBorders>
              <w:top w:val="nil"/>
              <w:left w:val="nil"/>
              <w:bottom w:val="single" w:sz="4" w:space="0" w:color="auto"/>
              <w:right w:val="single" w:sz="4" w:space="0" w:color="auto"/>
            </w:tcBorders>
            <w:shd w:val="clear" w:color="auto" w:fill="auto"/>
            <w:noWrap/>
            <w:vAlign w:val="bottom"/>
            <w:hideMark/>
          </w:tcPr>
          <w:p w14:paraId="4508D22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7E726A7E"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25.243%</w:t>
            </w:r>
          </w:p>
        </w:tc>
        <w:tc>
          <w:tcPr>
            <w:tcW w:w="1170" w:type="dxa"/>
            <w:tcBorders>
              <w:top w:val="nil"/>
              <w:left w:val="nil"/>
              <w:bottom w:val="single" w:sz="4" w:space="0" w:color="auto"/>
              <w:right w:val="single" w:sz="4" w:space="0" w:color="auto"/>
            </w:tcBorders>
            <w:shd w:val="clear" w:color="auto" w:fill="auto"/>
            <w:noWrap/>
            <w:vAlign w:val="bottom"/>
            <w:hideMark/>
          </w:tcPr>
          <w:p w14:paraId="066C658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07809CC8"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24.223%</w:t>
            </w:r>
          </w:p>
        </w:tc>
        <w:tc>
          <w:tcPr>
            <w:tcW w:w="1353" w:type="dxa"/>
            <w:tcBorders>
              <w:top w:val="nil"/>
              <w:left w:val="nil"/>
              <w:bottom w:val="single" w:sz="4" w:space="0" w:color="auto"/>
              <w:right w:val="single" w:sz="4" w:space="0" w:color="auto"/>
            </w:tcBorders>
            <w:shd w:val="clear" w:color="auto" w:fill="auto"/>
            <w:noWrap/>
            <w:vAlign w:val="bottom"/>
            <w:hideMark/>
          </w:tcPr>
          <w:p w14:paraId="6C0B4DDD"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3B61CD12"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727D2E9F"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Wood (CH</w:t>
            </w:r>
            <w:r w:rsidRPr="00BE45CA">
              <w:rPr>
                <w:rFonts w:eastAsia="Times New Roman" w:cs="Calibri"/>
                <w:color w:val="auto"/>
                <w:vertAlign w:val="subscript"/>
              </w:rPr>
              <w:t>4</w:t>
            </w:r>
            <w:r w:rsidRPr="00BE45CA">
              <w:rPr>
                <w:rFonts w:eastAsia="Times New Roman" w:cs="Calibri"/>
                <w:color w:val="auto"/>
              </w:rPr>
              <w:t>, N</w:t>
            </w:r>
            <w:r w:rsidRPr="00BE45CA">
              <w:rPr>
                <w:rFonts w:eastAsia="Times New Roman" w:cs="Calibri"/>
                <w:color w:val="auto"/>
                <w:vertAlign w:val="subscript"/>
              </w:rPr>
              <w:t>2</w:t>
            </w:r>
            <w:r w:rsidRPr="00BE45CA">
              <w:rPr>
                <w:rFonts w:eastAsia="Times New Roman" w:cs="Calibri"/>
                <w:color w:val="auto"/>
              </w:rPr>
              <w:t>O)- Residential/ Commercial/ Industrial (RCI) Fuel Use</w:t>
            </w:r>
          </w:p>
        </w:tc>
        <w:tc>
          <w:tcPr>
            <w:tcW w:w="1039" w:type="dxa"/>
            <w:tcBorders>
              <w:top w:val="nil"/>
              <w:left w:val="nil"/>
              <w:bottom w:val="single" w:sz="4" w:space="0" w:color="auto"/>
              <w:right w:val="single" w:sz="4" w:space="0" w:color="auto"/>
            </w:tcBorders>
            <w:shd w:val="clear" w:color="auto" w:fill="auto"/>
            <w:noWrap/>
            <w:vAlign w:val="bottom"/>
            <w:hideMark/>
          </w:tcPr>
          <w:p w14:paraId="4772785B"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0.765%</w:t>
            </w:r>
          </w:p>
        </w:tc>
        <w:tc>
          <w:tcPr>
            <w:tcW w:w="1350" w:type="dxa"/>
            <w:tcBorders>
              <w:top w:val="nil"/>
              <w:left w:val="nil"/>
              <w:bottom w:val="single" w:sz="4" w:space="0" w:color="auto"/>
              <w:right w:val="single" w:sz="4" w:space="0" w:color="auto"/>
            </w:tcBorders>
            <w:shd w:val="clear" w:color="auto" w:fill="auto"/>
            <w:noWrap/>
            <w:vAlign w:val="bottom"/>
            <w:hideMark/>
          </w:tcPr>
          <w:p w14:paraId="0D8018C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06440681"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0.737%</w:t>
            </w:r>
          </w:p>
        </w:tc>
        <w:tc>
          <w:tcPr>
            <w:tcW w:w="1170" w:type="dxa"/>
            <w:tcBorders>
              <w:top w:val="nil"/>
              <w:left w:val="nil"/>
              <w:bottom w:val="single" w:sz="4" w:space="0" w:color="auto"/>
              <w:right w:val="single" w:sz="4" w:space="0" w:color="auto"/>
            </w:tcBorders>
            <w:shd w:val="clear" w:color="auto" w:fill="auto"/>
            <w:noWrap/>
            <w:vAlign w:val="bottom"/>
            <w:hideMark/>
          </w:tcPr>
          <w:p w14:paraId="7ABA45C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57139EA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1.157%</w:t>
            </w:r>
          </w:p>
        </w:tc>
        <w:tc>
          <w:tcPr>
            <w:tcW w:w="1353" w:type="dxa"/>
            <w:tcBorders>
              <w:top w:val="nil"/>
              <w:left w:val="nil"/>
              <w:bottom w:val="single" w:sz="4" w:space="0" w:color="auto"/>
              <w:right w:val="single" w:sz="4" w:space="0" w:color="auto"/>
            </w:tcBorders>
            <w:shd w:val="clear" w:color="auto" w:fill="auto"/>
            <w:noWrap/>
            <w:vAlign w:val="bottom"/>
            <w:hideMark/>
          </w:tcPr>
          <w:p w14:paraId="26B9A7A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17D0A25C"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vAlign w:val="bottom"/>
            <w:hideMark/>
          </w:tcPr>
          <w:p w14:paraId="3204FABD"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Transportation/Mobile</w:t>
            </w:r>
          </w:p>
        </w:tc>
        <w:tc>
          <w:tcPr>
            <w:tcW w:w="1039" w:type="dxa"/>
            <w:tcBorders>
              <w:top w:val="nil"/>
              <w:left w:val="nil"/>
              <w:bottom w:val="single" w:sz="4" w:space="0" w:color="auto"/>
              <w:right w:val="single" w:sz="4" w:space="0" w:color="auto"/>
            </w:tcBorders>
            <w:shd w:val="clear" w:color="auto" w:fill="auto"/>
            <w:vAlign w:val="bottom"/>
            <w:hideMark/>
          </w:tcPr>
          <w:p w14:paraId="0413FE47"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0E0EA69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vAlign w:val="bottom"/>
            <w:hideMark/>
          </w:tcPr>
          <w:p w14:paraId="6318A1B3"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4300437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7C2A0F1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7491C8C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396AE6E7"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9F16715"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Motor Gasoline (</w:t>
            </w:r>
            <w:proofErr w:type="spellStart"/>
            <w:r w:rsidRPr="00BE45CA">
              <w:rPr>
                <w:rFonts w:eastAsia="Times New Roman" w:cs="Calibri"/>
                <w:color w:val="auto"/>
              </w:rPr>
              <w:t>Onroad</w:t>
            </w:r>
            <w:proofErr w:type="spellEnd"/>
            <w:r w:rsidRPr="00BE45CA">
              <w:rPr>
                <w:rFonts w:eastAsia="Times New Roman" w:cs="Calibri"/>
                <w:color w:val="auto"/>
              </w:rPr>
              <w:t xml:space="preserve"> and Nonroad) (CO</w:t>
            </w:r>
            <w:r w:rsidRPr="00BE45CA">
              <w:rPr>
                <w:rFonts w:eastAsia="Times New Roman" w:cs="Calibri"/>
                <w:color w:val="auto"/>
                <w:vertAlign w:val="subscript"/>
              </w:rPr>
              <w:t>2</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7D0C6B4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29.732%</w:t>
            </w:r>
          </w:p>
        </w:tc>
        <w:tc>
          <w:tcPr>
            <w:tcW w:w="1350" w:type="dxa"/>
            <w:tcBorders>
              <w:top w:val="nil"/>
              <w:left w:val="nil"/>
              <w:bottom w:val="single" w:sz="4" w:space="0" w:color="auto"/>
              <w:right w:val="single" w:sz="4" w:space="0" w:color="auto"/>
            </w:tcBorders>
            <w:shd w:val="clear" w:color="auto" w:fill="auto"/>
            <w:noWrap/>
            <w:vAlign w:val="bottom"/>
            <w:hideMark/>
          </w:tcPr>
          <w:p w14:paraId="607CEDD7"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33BD49F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31.509%</w:t>
            </w:r>
          </w:p>
        </w:tc>
        <w:tc>
          <w:tcPr>
            <w:tcW w:w="1170" w:type="dxa"/>
            <w:tcBorders>
              <w:top w:val="nil"/>
              <w:left w:val="nil"/>
              <w:bottom w:val="single" w:sz="4" w:space="0" w:color="auto"/>
              <w:right w:val="single" w:sz="4" w:space="0" w:color="auto"/>
            </w:tcBorders>
            <w:shd w:val="clear" w:color="auto" w:fill="auto"/>
            <w:noWrap/>
            <w:vAlign w:val="bottom"/>
            <w:hideMark/>
          </w:tcPr>
          <w:p w14:paraId="7FCB620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387D2D9E"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29.494%</w:t>
            </w:r>
          </w:p>
        </w:tc>
        <w:tc>
          <w:tcPr>
            <w:tcW w:w="1353" w:type="dxa"/>
            <w:tcBorders>
              <w:top w:val="nil"/>
              <w:left w:val="nil"/>
              <w:bottom w:val="single" w:sz="4" w:space="0" w:color="auto"/>
              <w:right w:val="single" w:sz="4" w:space="0" w:color="auto"/>
            </w:tcBorders>
            <w:shd w:val="clear" w:color="auto" w:fill="auto"/>
            <w:noWrap/>
            <w:vAlign w:val="bottom"/>
            <w:hideMark/>
          </w:tcPr>
          <w:p w14:paraId="354BD65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179F059A"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5290C33"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Diesel (</w:t>
            </w:r>
            <w:proofErr w:type="spellStart"/>
            <w:r w:rsidRPr="00BE45CA">
              <w:rPr>
                <w:rFonts w:eastAsia="Times New Roman" w:cs="Calibri"/>
                <w:color w:val="auto"/>
              </w:rPr>
              <w:t>Onroad</w:t>
            </w:r>
            <w:proofErr w:type="spellEnd"/>
            <w:r w:rsidRPr="00BE45CA">
              <w:rPr>
                <w:rFonts w:eastAsia="Times New Roman" w:cs="Calibri"/>
                <w:color w:val="auto"/>
              </w:rPr>
              <w:t xml:space="preserve"> and Nonroad) (CO</w:t>
            </w:r>
            <w:r w:rsidRPr="00BE45CA">
              <w:rPr>
                <w:rFonts w:eastAsia="Times New Roman" w:cs="Calibri"/>
                <w:color w:val="auto"/>
                <w:vertAlign w:val="subscript"/>
              </w:rPr>
              <w:t>2</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22C5EA0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5.198%</w:t>
            </w:r>
          </w:p>
        </w:tc>
        <w:tc>
          <w:tcPr>
            <w:tcW w:w="1350" w:type="dxa"/>
            <w:tcBorders>
              <w:top w:val="nil"/>
              <w:left w:val="nil"/>
              <w:bottom w:val="single" w:sz="4" w:space="0" w:color="auto"/>
              <w:right w:val="single" w:sz="4" w:space="0" w:color="auto"/>
            </w:tcBorders>
            <w:shd w:val="clear" w:color="auto" w:fill="auto"/>
            <w:noWrap/>
            <w:vAlign w:val="bottom"/>
            <w:hideMark/>
          </w:tcPr>
          <w:p w14:paraId="1DAFDEC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7F02D9D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6.493%</w:t>
            </w:r>
          </w:p>
        </w:tc>
        <w:tc>
          <w:tcPr>
            <w:tcW w:w="1170" w:type="dxa"/>
            <w:tcBorders>
              <w:top w:val="nil"/>
              <w:left w:val="nil"/>
              <w:bottom w:val="single" w:sz="4" w:space="0" w:color="auto"/>
              <w:right w:val="single" w:sz="4" w:space="0" w:color="auto"/>
            </w:tcBorders>
            <w:shd w:val="clear" w:color="auto" w:fill="auto"/>
            <w:noWrap/>
            <w:vAlign w:val="bottom"/>
            <w:hideMark/>
          </w:tcPr>
          <w:p w14:paraId="2B6B69D1"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52C73BA2"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8.369%</w:t>
            </w:r>
          </w:p>
        </w:tc>
        <w:tc>
          <w:tcPr>
            <w:tcW w:w="1353" w:type="dxa"/>
            <w:tcBorders>
              <w:top w:val="nil"/>
              <w:left w:val="nil"/>
              <w:bottom w:val="single" w:sz="4" w:space="0" w:color="auto"/>
              <w:right w:val="single" w:sz="4" w:space="0" w:color="auto"/>
            </w:tcBorders>
            <w:shd w:val="clear" w:color="auto" w:fill="auto"/>
            <w:noWrap/>
            <w:vAlign w:val="bottom"/>
            <w:hideMark/>
          </w:tcPr>
          <w:p w14:paraId="4047A55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63DD6B7E"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AA6963F"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Hydrocarbon Gas Liquids, Residual Fuel, Natural Gas (CO</w:t>
            </w:r>
            <w:r w:rsidRPr="00BE45CA">
              <w:rPr>
                <w:rFonts w:eastAsia="Times New Roman" w:cs="Calibri"/>
                <w:color w:val="auto"/>
                <w:vertAlign w:val="subscript"/>
              </w:rPr>
              <w:t>2</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73DEDCA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0.050%</w:t>
            </w:r>
          </w:p>
        </w:tc>
        <w:tc>
          <w:tcPr>
            <w:tcW w:w="1350" w:type="dxa"/>
            <w:tcBorders>
              <w:top w:val="nil"/>
              <w:left w:val="nil"/>
              <w:bottom w:val="single" w:sz="4" w:space="0" w:color="auto"/>
              <w:right w:val="single" w:sz="4" w:space="0" w:color="auto"/>
            </w:tcBorders>
            <w:shd w:val="clear" w:color="auto" w:fill="auto"/>
            <w:noWrap/>
            <w:vAlign w:val="bottom"/>
            <w:hideMark/>
          </w:tcPr>
          <w:p w14:paraId="47C3F6D7"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3E17FD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0.027%</w:t>
            </w:r>
          </w:p>
        </w:tc>
        <w:tc>
          <w:tcPr>
            <w:tcW w:w="1170" w:type="dxa"/>
            <w:tcBorders>
              <w:top w:val="nil"/>
              <w:left w:val="nil"/>
              <w:bottom w:val="single" w:sz="4" w:space="0" w:color="auto"/>
              <w:right w:val="single" w:sz="4" w:space="0" w:color="auto"/>
            </w:tcBorders>
            <w:shd w:val="clear" w:color="auto" w:fill="auto"/>
            <w:noWrap/>
            <w:vAlign w:val="bottom"/>
            <w:hideMark/>
          </w:tcPr>
          <w:p w14:paraId="3CF1CD2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2358CCB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0.020%</w:t>
            </w:r>
          </w:p>
        </w:tc>
        <w:tc>
          <w:tcPr>
            <w:tcW w:w="1353" w:type="dxa"/>
            <w:tcBorders>
              <w:top w:val="nil"/>
              <w:left w:val="nil"/>
              <w:bottom w:val="single" w:sz="4" w:space="0" w:color="auto"/>
              <w:right w:val="single" w:sz="4" w:space="0" w:color="auto"/>
            </w:tcBorders>
            <w:shd w:val="clear" w:color="auto" w:fill="auto"/>
            <w:noWrap/>
            <w:vAlign w:val="bottom"/>
            <w:hideMark/>
          </w:tcPr>
          <w:p w14:paraId="20B1E651"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76A81FE8"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071B836"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Jet Fuel &amp; Aviation Gasoline (CO</w:t>
            </w:r>
            <w:r w:rsidRPr="00BE45CA">
              <w:rPr>
                <w:rFonts w:eastAsia="Times New Roman" w:cs="Calibri"/>
                <w:color w:val="auto"/>
                <w:vertAlign w:val="subscript"/>
              </w:rPr>
              <w:t>2</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65B4B79F"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0.889%</w:t>
            </w:r>
          </w:p>
        </w:tc>
        <w:tc>
          <w:tcPr>
            <w:tcW w:w="1350" w:type="dxa"/>
            <w:tcBorders>
              <w:top w:val="nil"/>
              <w:left w:val="nil"/>
              <w:bottom w:val="single" w:sz="4" w:space="0" w:color="auto"/>
              <w:right w:val="single" w:sz="4" w:space="0" w:color="auto"/>
            </w:tcBorders>
            <w:shd w:val="clear" w:color="auto" w:fill="auto"/>
            <w:noWrap/>
            <w:vAlign w:val="bottom"/>
            <w:hideMark/>
          </w:tcPr>
          <w:p w14:paraId="60F53DF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3B56A8C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1.342%</w:t>
            </w:r>
          </w:p>
        </w:tc>
        <w:tc>
          <w:tcPr>
            <w:tcW w:w="1170" w:type="dxa"/>
            <w:tcBorders>
              <w:top w:val="nil"/>
              <w:left w:val="nil"/>
              <w:bottom w:val="single" w:sz="4" w:space="0" w:color="auto"/>
              <w:right w:val="single" w:sz="4" w:space="0" w:color="auto"/>
            </w:tcBorders>
            <w:shd w:val="clear" w:color="auto" w:fill="auto"/>
            <w:noWrap/>
            <w:vAlign w:val="bottom"/>
            <w:hideMark/>
          </w:tcPr>
          <w:p w14:paraId="069502A1"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1D92A06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1.257%</w:t>
            </w:r>
          </w:p>
        </w:tc>
        <w:tc>
          <w:tcPr>
            <w:tcW w:w="1353" w:type="dxa"/>
            <w:tcBorders>
              <w:top w:val="nil"/>
              <w:left w:val="nil"/>
              <w:bottom w:val="single" w:sz="4" w:space="0" w:color="auto"/>
              <w:right w:val="single" w:sz="4" w:space="0" w:color="auto"/>
            </w:tcBorders>
            <w:shd w:val="clear" w:color="auto" w:fill="auto"/>
            <w:noWrap/>
            <w:vAlign w:val="bottom"/>
            <w:hideMark/>
          </w:tcPr>
          <w:p w14:paraId="1D202E97"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24EBB0B4"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ADD0B4E"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lastRenderedPageBreak/>
              <w:t>Non-Energy Consumption - Lubricants (CO</w:t>
            </w:r>
            <w:r w:rsidRPr="00BE45CA">
              <w:rPr>
                <w:rFonts w:eastAsia="Times New Roman" w:cs="Calibri"/>
                <w:color w:val="auto"/>
                <w:vertAlign w:val="subscript"/>
              </w:rPr>
              <w:t>2</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7D078B45"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0.252%</w:t>
            </w:r>
          </w:p>
        </w:tc>
        <w:tc>
          <w:tcPr>
            <w:tcW w:w="1350" w:type="dxa"/>
            <w:tcBorders>
              <w:top w:val="nil"/>
              <w:left w:val="nil"/>
              <w:bottom w:val="single" w:sz="4" w:space="0" w:color="auto"/>
              <w:right w:val="single" w:sz="4" w:space="0" w:color="auto"/>
            </w:tcBorders>
            <w:shd w:val="clear" w:color="auto" w:fill="auto"/>
            <w:noWrap/>
            <w:vAlign w:val="bottom"/>
            <w:hideMark/>
          </w:tcPr>
          <w:p w14:paraId="2576D16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A4C0F4B"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0.188%</w:t>
            </w:r>
          </w:p>
        </w:tc>
        <w:tc>
          <w:tcPr>
            <w:tcW w:w="1170" w:type="dxa"/>
            <w:tcBorders>
              <w:top w:val="nil"/>
              <w:left w:val="nil"/>
              <w:bottom w:val="single" w:sz="4" w:space="0" w:color="auto"/>
              <w:right w:val="single" w:sz="4" w:space="0" w:color="auto"/>
            </w:tcBorders>
            <w:shd w:val="clear" w:color="auto" w:fill="auto"/>
            <w:noWrap/>
            <w:vAlign w:val="bottom"/>
            <w:hideMark/>
          </w:tcPr>
          <w:p w14:paraId="32F396E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45F0C98D"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0.186%</w:t>
            </w:r>
          </w:p>
        </w:tc>
        <w:tc>
          <w:tcPr>
            <w:tcW w:w="1353" w:type="dxa"/>
            <w:tcBorders>
              <w:top w:val="nil"/>
              <w:left w:val="nil"/>
              <w:bottom w:val="single" w:sz="4" w:space="0" w:color="auto"/>
              <w:right w:val="single" w:sz="4" w:space="0" w:color="auto"/>
            </w:tcBorders>
            <w:shd w:val="clear" w:color="auto" w:fill="auto"/>
            <w:noWrap/>
            <w:vAlign w:val="bottom"/>
            <w:hideMark/>
          </w:tcPr>
          <w:p w14:paraId="4170F17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0757066B"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00E6C0C3"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All Mobile (CH</w:t>
            </w:r>
            <w:r w:rsidRPr="00BE45CA">
              <w:rPr>
                <w:rFonts w:eastAsia="Times New Roman" w:cs="Calibri"/>
                <w:color w:val="auto"/>
                <w:vertAlign w:val="subscript"/>
              </w:rPr>
              <w:t>4</w:t>
            </w:r>
            <w:r w:rsidRPr="00BE45CA">
              <w:rPr>
                <w:rFonts w:eastAsia="Times New Roman" w:cs="Calibri"/>
                <w:color w:val="auto"/>
              </w:rPr>
              <w:t>, N</w:t>
            </w:r>
            <w:r w:rsidRPr="00BE45CA">
              <w:rPr>
                <w:rFonts w:eastAsia="Times New Roman" w:cs="Calibri"/>
                <w:color w:val="auto"/>
                <w:vertAlign w:val="subscript"/>
              </w:rPr>
              <w:t>2</w:t>
            </w:r>
            <w:r w:rsidRPr="00BE45CA">
              <w:rPr>
                <w:rFonts w:eastAsia="Times New Roman" w:cs="Calibri"/>
                <w:color w:val="auto"/>
              </w:rPr>
              <w:t>O)</w:t>
            </w:r>
          </w:p>
        </w:tc>
        <w:tc>
          <w:tcPr>
            <w:tcW w:w="1039" w:type="dxa"/>
            <w:tcBorders>
              <w:top w:val="nil"/>
              <w:left w:val="nil"/>
              <w:bottom w:val="single" w:sz="4" w:space="0" w:color="auto"/>
              <w:right w:val="single" w:sz="4" w:space="0" w:color="auto"/>
            </w:tcBorders>
            <w:shd w:val="clear" w:color="auto" w:fill="auto"/>
            <w:noWrap/>
            <w:vAlign w:val="bottom"/>
            <w:hideMark/>
          </w:tcPr>
          <w:p w14:paraId="2F7DA460"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2.253%</w:t>
            </w:r>
          </w:p>
        </w:tc>
        <w:tc>
          <w:tcPr>
            <w:tcW w:w="1350" w:type="dxa"/>
            <w:tcBorders>
              <w:top w:val="nil"/>
              <w:left w:val="nil"/>
              <w:bottom w:val="single" w:sz="4" w:space="0" w:color="auto"/>
              <w:right w:val="single" w:sz="4" w:space="0" w:color="auto"/>
            </w:tcBorders>
            <w:shd w:val="clear" w:color="auto" w:fill="auto"/>
            <w:noWrap/>
            <w:vAlign w:val="bottom"/>
            <w:hideMark/>
          </w:tcPr>
          <w:p w14:paraId="0217BED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63FFD890"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1.444%</w:t>
            </w:r>
          </w:p>
        </w:tc>
        <w:tc>
          <w:tcPr>
            <w:tcW w:w="1170" w:type="dxa"/>
            <w:tcBorders>
              <w:top w:val="nil"/>
              <w:left w:val="nil"/>
              <w:bottom w:val="single" w:sz="4" w:space="0" w:color="auto"/>
              <w:right w:val="single" w:sz="4" w:space="0" w:color="auto"/>
            </w:tcBorders>
            <w:shd w:val="clear" w:color="auto" w:fill="auto"/>
            <w:noWrap/>
            <w:vAlign w:val="bottom"/>
            <w:hideMark/>
          </w:tcPr>
          <w:p w14:paraId="6923E7D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2181FBE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0.273%</w:t>
            </w:r>
          </w:p>
        </w:tc>
        <w:tc>
          <w:tcPr>
            <w:tcW w:w="1353" w:type="dxa"/>
            <w:tcBorders>
              <w:top w:val="nil"/>
              <w:left w:val="nil"/>
              <w:bottom w:val="single" w:sz="4" w:space="0" w:color="auto"/>
              <w:right w:val="single" w:sz="4" w:space="0" w:color="auto"/>
            </w:tcBorders>
            <w:shd w:val="clear" w:color="auto" w:fill="auto"/>
            <w:noWrap/>
            <w:vAlign w:val="bottom"/>
            <w:hideMark/>
          </w:tcPr>
          <w:p w14:paraId="12A9636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06EEE203"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09DD97D"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Fossil Fuel Industry</w:t>
            </w:r>
          </w:p>
        </w:tc>
        <w:tc>
          <w:tcPr>
            <w:tcW w:w="1039" w:type="dxa"/>
            <w:tcBorders>
              <w:top w:val="nil"/>
              <w:left w:val="nil"/>
              <w:bottom w:val="single" w:sz="4" w:space="0" w:color="auto"/>
              <w:right w:val="single" w:sz="4" w:space="0" w:color="auto"/>
            </w:tcBorders>
            <w:shd w:val="clear" w:color="auto" w:fill="auto"/>
            <w:noWrap/>
            <w:vAlign w:val="bottom"/>
            <w:hideMark/>
          </w:tcPr>
          <w:p w14:paraId="32AD671A"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4159305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A0D9B8"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56CD265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1744777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38A7582F"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2F212A47"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56145E3"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Natural Gas Distribution</w:t>
            </w:r>
          </w:p>
        </w:tc>
        <w:tc>
          <w:tcPr>
            <w:tcW w:w="1039" w:type="dxa"/>
            <w:tcBorders>
              <w:top w:val="nil"/>
              <w:left w:val="nil"/>
              <w:bottom w:val="single" w:sz="4" w:space="0" w:color="auto"/>
              <w:right w:val="single" w:sz="4" w:space="0" w:color="auto"/>
            </w:tcBorders>
            <w:shd w:val="clear" w:color="auto" w:fill="auto"/>
            <w:noWrap/>
            <w:vAlign w:val="bottom"/>
            <w:hideMark/>
          </w:tcPr>
          <w:p w14:paraId="4FC2E32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0.079%</w:t>
            </w:r>
          </w:p>
        </w:tc>
        <w:tc>
          <w:tcPr>
            <w:tcW w:w="1350" w:type="dxa"/>
            <w:tcBorders>
              <w:top w:val="nil"/>
              <w:left w:val="nil"/>
              <w:bottom w:val="single" w:sz="4" w:space="0" w:color="auto"/>
              <w:right w:val="single" w:sz="4" w:space="0" w:color="auto"/>
            </w:tcBorders>
            <w:shd w:val="clear" w:color="auto" w:fill="auto"/>
            <w:noWrap/>
            <w:vAlign w:val="bottom"/>
            <w:hideMark/>
          </w:tcPr>
          <w:p w14:paraId="0291A9F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293204D5"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0.028%</w:t>
            </w:r>
          </w:p>
        </w:tc>
        <w:tc>
          <w:tcPr>
            <w:tcW w:w="1170" w:type="dxa"/>
            <w:tcBorders>
              <w:top w:val="nil"/>
              <w:left w:val="nil"/>
              <w:bottom w:val="single" w:sz="4" w:space="0" w:color="auto"/>
              <w:right w:val="single" w:sz="4" w:space="0" w:color="auto"/>
            </w:tcBorders>
            <w:shd w:val="clear" w:color="auto" w:fill="auto"/>
            <w:noWrap/>
            <w:vAlign w:val="bottom"/>
            <w:hideMark/>
          </w:tcPr>
          <w:p w14:paraId="7EF0174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5BB9DC9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0.050%</w:t>
            </w:r>
          </w:p>
        </w:tc>
        <w:tc>
          <w:tcPr>
            <w:tcW w:w="1353" w:type="dxa"/>
            <w:tcBorders>
              <w:top w:val="nil"/>
              <w:left w:val="nil"/>
              <w:bottom w:val="single" w:sz="4" w:space="0" w:color="auto"/>
              <w:right w:val="single" w:sz="4" w:space="0" w:color="auto"/>
            </w:tcBorders>
            <w:shd w:val="clear" w:color="auto" w:fill="auto"/>
            <w:noWrap/>
            <w:vAlign w:val="bottom"/>
            <w:hideMark/>
          </w:tcPr>
          <w:p w14:paraId="0450E9A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7050589B"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65FA183"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Natural Gas Transmission</w:t>
            </w:r>
          </w:p>
        </w:tc>
        <w:tc>
          <w:tcPr>
            <w:tcW w:w="1039" w:type="dxa"/>
            <w:tcBorders>
              <w:top w:val="nil"/>
              <w:left w:val="nil"/>
              <w:bottom w:val="single" w:sz="4" w:space="0" w:color="auto"/>
              <w:right w:val="single" w:sz="4" w:space="0" w:color="auto"/>
            </w:tcBorders>
            <w:shd w:val="clear" w:color="auto" w:fill="auto"/>
            <w:noWrap/>
            <w:vAlign w:val="bottom"/>
            <w:hideMark/>
          </w:tcPr>
          <w:p w14:paraId="3DC3EF8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0.131%</w:t>
            </w:r>
          </w:p>
        </w:tc>
        <w:tc>
          <w:tcPr>
            <w:tcW w:w="1350" w:type="dxa"/>
            <w:tcBorders>
              <w:top w:val="nil"/>
              <w:left w:val="nil"/>
              <w:bottom w:val="single" w:sz="4" w:space="0" w:color="auto"/>
              <w:right w:val="single" w:sz="4" w:space="0" w:color="auto"/>
            </w:tcBorders>
            <w:shd w:val="clear" w:color="auto" w:fill="auto"/>
            <w:noWrap/>
            <w:vAlign w:val="bottom"/>
            <w:hideMark/>
          </w:tcPr>
          <w:p w14:paraId="20C8550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0729841"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0.139%</w:t>
            </w:r>
          </w:p>
        </w:tc>
        <w:tc>
          <w:tcPr>
            <w:tcW w:w="1170" w:type="dxa"/>
            <w:tcBorders>
              <w:top w:val="nil"/>
              <w:left w:val="nil"/>
              <w:bottom w:val="single" w:sz="4" w:space="0" w:color="auto"/>
              <w:right w:val="single" w:sz="4" w:space="0" w:color="auto"/>
            </w:tcBorders>
            <w:shd w:val="clear" w:color="auto" w:fill="auto"/>
            <w:noWrap/>
            <w:vAlign w:val="bottom"/>
            <w:hideMark/>
          </w:tcPr>
          <w:p w14:paraId="0747BDA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6642459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0.272%</w:t>
            </w:r>
          </w:p>
        </w:tc>
        <w:tc>
          <w:tcPr>
            <w:tcW w:w="1353" w:type="dxa"/>
            <w:tcBorders>
              <w:top w:val="nil"/>
              <w:left w:val="nil"/>
              <w:bottom w:val="single" w:sz="4" w:space="0" w:color="auto"/>
              <w:right w:val="single" w:sz="4" w:space="0" w:color="auto"/>
            </w:tcBorders>
            <w:shd w:val="clear" w:color="auto" w:fill="auto"/>
            <w:noWrap/>
            <w:vAlign w:val="bottom"/>
            <w:hideMark/>
          </w:tcPr>
          <w:p w14:paraId="1774A0F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0009D1C4"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5641E94"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Industrial Processes</w:t>
            </w:r>
          </w:p>
        </w:tc>
        <w:tc>
          <w:tcPr>
            <w:tcW w:w="1039" w:type="dxa"/>
            <w:tcBorders>
              <w:top w:val="nil"/>
              <w:left w:val="nil"/>
              <w:bottom w:val="single" w:sz="4" w:space="0" w:color="auto"/>
              <w:right w:val="single" w:sz="4" w:space="0" w:color="auto"/>
            </w:tcBorders>
            <w:shd w:val="clear" w:color="auto" w:fill="auto"/>
            <w:noWrap/>
            <w:vAlign w:val="bottom"/>
            <w:hideMark/>
          </w:tcPr>
          <w:p w14:paraId="7CF5FFBC"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0460C5B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F8CA41E"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2180C8B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64A03E8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728C00D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2F344814"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3C0F797"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ODS Substitutes</w:t>
            </w:r>
          </w:p>
        </w:tc>
        <w:tc>
          <w:tcPr>
            <w:tcW w:w="1039" w:type="dxa"/>
            <w:tcBorders>
              <w:top w:val="nil"/>
              <w:left w:val="nil"/>
              <w:bottom w:val="single" w:sz="4" w:space="0" w:color="auto"/>
              <w:right w:val="single" w:sz="4" w:space="0" w:color="auto"/>
            </w:tcBorders>
            <w:shd w:val="clear" w:color="auto" w:fill="auto"/>
            <w:noWrap/>
            <w:vAlign w:val="bottom"/>
            <w:hideMark/>
          </w:tcPr>
          <w:p w14:paraId="6CE715D9"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0.006%</w:t>
            </w:r>
          </w:p>
        </w:tc>
        <w:tc>
          <w:tcPr>
            <w:tcW w:w="1350" w:type="dxa"/>
            <w:tcBorders>
              <w:top w:val="nil"/>
              <w:left w:val="nil"/>
              <w:bottom w:val="single" w:sz="4" w:space="0" w:color="auto"/>
              <w:right w:val="single" w:sz="4" w:space="0" w:color="auto"/>
            </w:tcBorders>
            <w:shd w:val="clear" w:color="auto" w:fill="auto"/>
            <w:noWrap/>
            <w:vAlign w:val="bottom"/>
            <w:hideMark/>
          </w:tcPr>
          <w:p w14:paraId="783E23F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02F634A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1.817%</w:t>
            </w:r>
          </w:p>
        </w:tc>
        <w:tc>
          <w:tcPr>
            <w:tcW w:w="1170" w:type="dxa"/>
            <w:tcBorders>
              <w:top w:val="nil"/>
              <w:left w:val="nil"/>
              <w:bottom w:val="single" w:sz="4" w:space="0" w:color="auto"/>
              <w:right w:val="single" w:sz="4" w:space="0" w:color="auto"/>
            </w:tcBorders>
            <w:shd w:val="clear" w:color="auto" w:fill="auto"/>
            <w:noWrap/>
            <w:vAlign w:val="bottom"/>
            <w:hideMark/>
          </w:tcPr>
          <w:p w14:paraId="3A4F1C5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07FE695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4.181%</w:t>
            </w:r>
          </w:p>
        </w:tc>
        <w:tc>
          <w:tcPr>
            <w:tcW w:w="1353" w:type="dxa"/>
            <w:tcBorders>
              <w:top w:val="nil"/>
              <w:left w:val="nil"/>
              <w:bottom w:val="single" w:sz="4" w:space="0" w:color="auto"/>
              <w:right w:val="single" w:sz="4" w:space="0" w:color="auto"/>
            </w:tcBorders>
            <w:shd w:val="clear" w:color="auto" w:fill="auto"/>
            <w:noWrap/>
            <w:vAlign w:val="bottom"/>
            <w:hideMark/>
          </w:tcPr>
          <w:p w14:paraId="461BAFC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6014F805"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03BE03BB"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Electric Utilities (SF</w:t>
            </w:r>
            <w:r w:rsidRPr="00BE45CA">
              <w:rPr>
                <w:rFonts w:eastAsia="Times New Roman" w:cs="Calibri"/>
                <w:color w:val="auto"/>
                <w:vertAlign w:val="subscript"/>
              </w:rPr>
              <w:t>6</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2BA1D5F5"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0.466%</w:t>
            </w:r>
          </w:p>
        </w:tc>
        <w:tc>
          <w:tcPr>
            <w:tcW w:w="1350" w:type="dxa"/>
            <w:tcBorders>
              <w:top w:val="nil"/>
              <w:left w:val="nil"/>
              <w:bottom w:val="single" w:sz="4" w:space="0" w:color="auto"/>
              <w:right w:val="single" w:sz="4" w:space="0" w:color="auto"/>
            </w:tcBorders>
            <w:shd w:val="clear" w:color="auto" w:fill="auto"/>
            <w:noWrap/>
            <w:vAlign w:val="bottom"/>
            <w:hideMark/>
          </w:tcPr>
          <w:p w14:paraId="7A99D43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7A705039"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0.135%</w:t>
            </w:r>
          </w:p>
        </w:tc>
        <w:tc>
          <w:tcPr>
            <w:tcW w:w="1170" w:type="dxa"/>
            <w:tcBorders>
              <w:top w:val="nil"/>
              <w:left w:val="nil"/>
              <w:bottom w:val="single" w:sz="4" w:space="0" w:color="auto"/>
              <w:right w:val="single" w:sz="4" w:space="0" w:color="auto"/>
            </w:tcBorders>
            <w:shd w:val="clear" w:color="auto" w:fill="auto"/>
            <w:noWrap/>
            <w:vAlign w:val="bottom"/>
            <w:hideMark/>
          </w:tcPr>
          <w:p w14:paraId="41C284B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5E6AD4AC"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0.068%</w:t>
            </w:r>
          </w:p>
        </w:tc>
        <w:tc>
          <w:tcPr>
            <w:tcW w:w="1353" w:type="dxa"/>
            <w:tcBorders>
              <w:top w:val="nil"/>
              <w:left w:val="nil"/>
              <w:bottom w:val="single" w:sz="4" w:space="0" w:color="auto"/>
              <w:right w:val="single" w:sz="4" w:space="0" w:color="auto"/>
            </w:tcBorders>
            <w:shd w:val="clear" w:color="auto" w:fill="auto"/>
            <w:noWrap/>
            <w:vAlign w:val="bottom"/>
            <w:hideMark/>
          </w:tcPr>
          <w:p w14:paraId="436DA30D"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28B2F3DC" w14:textId="77777777" w:rsidTr="005A2D13">
        <w:trPr>
          <w:trHeight w:val="396"/>
          <w:jc w:val="center"/>
        </w:trPr>
        <w:tc>
          <w:tcPr>
            <w:tcW w:w="3546" w:type="dxa"/>
            <w:tcBorders>
              <w:top w:val="nil"/>
              <w:left w:val="single" w:sz="4" w:space="0" w:color="auto"/>
              <w:bottom w:val="single" w:sz="4" w:space="0" w:color="auto"/>
              <w:right w:val="single" w:sz="4" w:space="0" w:color="auto"/>
            </w:tcBorders>
            <w:shd w:val="clear" w:color="auto" w:fill="auto"/>
            <w:vAlign w:val="bottom"/>
            <w:hideMark/>
          </w:tcPr>
          <w:p w14:paraId="1F7BD0E7"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Semiconductor Manufacturing (HFC, PFC &amp; SF</w:t>
            </w:r>
            <w:r w:rsidRPr="00BE45CA">
              <w:rPr>
                <w:rFonts w:eastAsia="Times New Roman" w:cs="Calibri"/>
                <w:color w:val="auto"/>
                <w:vertAlign w:val="subscript"/>
              </w:rPr>
              <w:t>6</w:t>
            </w:r>
            <w:r w:rsidRPr="00BE45CA">
              <w:rPr>
                <w:rFonts w:eastAsia="Times New Roman" w:cs="Calibri"/>
                <w:color w:val="auto"/>
              </w:rPr>
              <w:t>)</w:t>
            </w:r>
          </w:p>
        </w:tc>
        <w:tc>
          <w:tcPr>
            <w:tcW w:w="1039" w:type="dxa"/>
            <w:tcBorders>
              <w:top w:val="nil"/>
              <w:left w:val="nil"/>
              <w:bottom w:val="single" w:sz="4" w:space="0" w:color="auto"/>
              <w:right w:val="single" w:sz="4" w:space="0" w:color="auto"/>
            </w:tcBorders>
            <w:shd w:val="clear" w:color="auto" w:fill="auto"/>
            <w:noWrap/>
            <w:vAlign w:val="bottom"/>
            <w:hideMark/>
          </w:tcPr>
          <w:p w14:paraId="6C09F5C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1.873%</w:t>
            </w:r>
          </w:p>
        </w:tc>
        <w:tc>
          <w:tcPr>
            <w:tcW w:w="1350" w:type="dxa"/>
            <w:tcBorders>
              <w:top w:val="nil"/>
              <w:left w:val="nil"/>
              <w:bottom w:val="single" w:sz="4" w:space="0" w:color="auto"/>
              <w:right w:val="single" w:sz="4" w:space="0" w:color="auto"/>
            </w:tcBorders>
            <w:shd w:val="clear" w:color="auto" w:fill="auto"/>
            <w:noWrap/>
            <w:vAlign w:val="bottom"/>
            <w:hideMark/>
          </w:tcPr>
          <w:p w14:paraId="55268E3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329989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3.336%</w:t>
            </w:r>
          </w:p>
        </w:tc>
        <w:tc>
          <w:tcPr>
            <w:tcW w:w="1170" w:type="dxa"/>
            <w:tcBorders>
              <w:top w:val="nil"/>
              <w:left w:val="nil"/>
              <w:bottom w:val="single" w:sz="4" w:space="0" w:color="auto"/>
              <w:right w:val="single" w:sz="4" w:space="0" w:color="auto"/>
            </w:tcBorders>
            <w:shd w:val="clear" w:color="auto" w:fill="auto"/>
            <w:noWrap/>
            <w:vAlign w:val="bottom"/>
            <w:hideMark/>
          </w:tcPr>
          <w:p w14:paraId="2DCF817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0CA69D4E"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2.297%</w:t>
            </w:r>
          </w:p>
        </w:tc>
        <w:tc>
          <w:tcPr>
            <w:tcW w:w="1353" w:type="dxa"/>
            <w:tcBorders>
              <w:top w:val="nil"/>
              <w:left w:val="nil"/>
              <w:bottom w:val="single" w:sz="4" w:space="0" w:color="auto"/>
              <w:right w:val="single" w:sz="4" w:space="0" w:color="auto"/>
            </w:tcBorders>
            <w:shd w:val="clear" w:color="auto" w:fill="auto"/>
            <w:noWrap/>
            <w:vAlign w:val="bottom"/>
            <w:hideMark/>
          </w:tcPr>
          <w:p w14:paraId="6EED8277"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2EDC6843"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744216A9"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Limestone &amp; Dolomite Use</w:t>
            </w:r>
          </w:p>
        </w:tc>
        <w:tc>
          <w:tcPr>
            <w:tcW w:w="1039" w:type="dxa"/>
            <w:tcBorders>
              <w:top w:val="nil"/>
              <w:left w:val="nil"/>
              <w:bottom w:val="single" w:sz="4" w:space="0" w:color="auto"/>
              <w:right w:val="single" w:sz="4" w:space="0" w:color="auto"/>
            </w:tcBorders>
            <w:shd w:val="clear" w:color="auto" w:fill="auto"/>
            <w:noWrap/>
            <w:vAlign w:val="bottom"/>
            <w:hideMark/>
          </w:tcPr>
          <w:p w14:paraId="266C4622"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0.000%</w:t>
            </w:r>
          </w:p>
        </w:tc>
        <w:tc>
          <w:tcPr>
            <w:tcW w:w="1350" w:type="dxa"/>
            <w:tcBorders>
              <w:top w:val="nil"/>
              <w:left w:val="nil"/>
              <w:bottom w:val="single" w:sz="4" w:space="0" w:color="auto"/>
              <w:right w:val="single" w:sz="4" w:space="0" w:color="auto"/>
            </w:tcBorders>
            <w:shd w:val="clear" w:color="auto" w:fill="auto"/>
            <w:noWrap/>
            <w:vAlign w:val="bottom"/>
            <w:hideMark/>
          </w:tcPr>
          <w:p w14:paraId="22CB6031"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6F360978"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0.313%</w:t>
            </w:r>
          </w:p>
        </w:tc>
        <w:tc>
          <w:tcPr>
            <w:tcW w:w="1170" w:type="dxa"/>
            <w:tcBorders>
              <w:top w:val="nil"/>
              <w:left w:val="nil"/>
              <w:bottom w:val="single" w:sz="4" w:space="0" w:color="auto"/>
              <w:right w:val="single" w:sz="4" w:space="0" w:color="auto"/>
            </w:tcBorders>
            <w:shd w:val="clear" w:color="auto" w:fill="auto"/>
            <w:noWrap/>
            <w:vAlign w:val="bottom"/>
            <w:hideMark/>
          </w:tcPr>
          <w:p w14:paraId="0716405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7BAF64A1"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0.267%</w:t>
            </w:r>
          </w:p>
        </w:tc>
        <w:tc>
          <w:tcPr>
            <w:tcW w:w="1353" w:type="dxa"/>
            <w:tcBorders>
              <w:top w:val="nil"/>
              <w:left w:val="nil"/>
              <w:bottom w:val="single" w:sz="4" w:space="0" w:color="auto"/>
              <w:right w:val="single" w:sz="4" w:space="0" w:color="auto"/>
            </w:tcBorders>
            <w:shd w:val="clear" w:color="auto" w:fill="auto"/>
            <w:noWrap/>
            <w:vAlign w:val="bottom"/>
            <w:hideMark/>
          </w:tcPr>
          <w:p w14:paraId="12B46D93"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184E85F1"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8988D3B"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Soda Ash Use</w:t>
            </w:r>
          </w:p>
        </w:tc>
        <w:tc>
          <w:tcPr>
            <w:tcW w:w="1039" w:type="dxa"/>
            <w:tcBorders>
              <w:top w:val="nil"/>
              <w:left w:val="nil"/>
              <w:bottom w:val="single" w:sz="4" w:space="0" w:color="auto"/>
              <w:right w:val="single" w:sz="4" w:space="0" w:color="auto"/>
            </w:tcBorders>
            <w:shd w:val="clear" w:color="auto" w:fill="auto"/>
            <w:noWrap/>
            <w:vAlign w:val="bottom"/>
            <w:hideMark/>
          </w:tcPr>
          <w:p w14:paraId="6F6F07CB"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0.071%</w:t>
            </w:r>
          </w:p>
        </w:tc>
        <w:tc>
          <w:tcPr>
            <w:tcW w:w="1350" w:type="dxa"/>
            <w:tcBorders>
              <w:top w:val="nil"/>
              <w:left w:val="nil"/>
              <w:bottom w:val="single" w:sz="4" w:space="0" w:color="auto"/>
              <w:right w:val="single" w:sz="4" w:space="0" w:color="auto"/>
            </w:tcBorders>
            <w:shd w:val="clear" w:color="auto" w:fill="auto"/>
            <w:noWrap/>
            <w:vAlign w:val="bottom"/>
            <w:hideMark/>
          </w:tcPr>
          <w:p w14:paraId="118ADE26"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177924C2"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0.054%</w:t>
            </w:r>
          </w:p>
        </w:tc>
        <w:tc>
          <w:tcPr>
            <w:tcW w:w="1170" w:type="dxa"/>
            <w:tcBorders>
              <w:top w:val="nil"/>
              <w:left w:val="nil"/>
              <w:bottom w:val="single" w:sz="4" w:space="0" w:color="auto"/>
              <w:right w:val="single" w:sz="4" w:space="0" w:color="auto"/>
            </w:tcBorders>
            <w:shd w:val="clear" w:color="auto" w:fill="auto"/>
            <w:noWrap/>
            <w:vAlign w:val="bottom"/>
            <w:hideMark/>
          </w:tcPr>
          <w:p w14:paraId="1D83EED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696F333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0.045%</w:t>
            </w:r>
          </w:p>
        </w:tc>
        <w:tc>
          <w:tcPr>
            <w:tcW w:w="1353" w:type="dxa"/>
            <w:tcBorders>
              <w:top w:val="nil"/>
              <w:left w:val="nil"/>
              <w:bottom w:val="single" w:sz="4" w:space="0" w:color="auto"/>
              <w:right w:val="single" w:sz="4" w:space="0" w:color="auto"/>
            </w:tcBorders>
            <w:shd w:val="clear" w:color="auto" w:fill="auto"/>
            <w:noWrap/>
            <w:vAlign w:val="bottom"/>
            <w:hideMark/>
          </w:tcPr>
          <w:p w14:paraId="6A0D38F2"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4B84DF56"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177522DB"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Urea Consumption</w:t>
            </w:r>
          </w:p>
        </w:tc>
        <w:tc>
          <w:tcPr>
            <w:tcW w:w="1039" w:type="dxa"/>
            <w:tcBorders>
              <w:top w:val="nil"/>
              <w:left w:val="nil"/>
              <w:bottom w:val="single" w:sz="4" w:space="0" w:color="auto"/>
              <w:right w:val="single" w:sz="4" w:space="0" w:color="auto"/>
            </w:tcBorders>
            <w:shd w:val="clear" w:color="auto" w:fill="auto"/>
            <w:noWrap/>
            <w:vAlign w:val="bottom"/>
            <w:hideMark/>
          </w:tcPr>
          <w:p w14:paraId="03C6D6CC"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0.004%</w:t>
            </w:r>
          </w:p>
        </w:tc>
        <w:tc>
          <w:tcPr>
            <w:tcW w:w="1350" w:type="dxa"/>
            <w:tcBorders>
              <w:top w:val="nil"/>
              <w:left w:val="nil"/>
              <w:bottom w:val="single" w:sz="4" w:space="0" w:color="auto"/>
              <w:right w:val="single" w:sz="4" w:space="0" w:color="auto"/>
            </w:tcBorders>
            <w:shd w:val="clear" w:color="auto" w:fill="auto"/>
            <w:noWrap/>
            <w:vAlign w:val="bottom"/>
            <w:hideMark/>
          </w:tcPr>
          <w:p w14:paraId="7E2AFC2A"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5218CFF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0.004%</w:t>
            </w:r>
          </w:p>
        </w:tc>
        <w:tc>
          <w:tcPr>
            <w:tcW w:w="1170" w:type="dxa"/>
            <w:tcBorders>
              <w:top w:val="nil"/>
              <w:left w:val="nil"/>
              <w:bottom w:val="single" w:sz="4" w:space="0" w:color="auto"/>
              <w:right w:val="single" w:sz="4" w:space="0" w:color="auto"/>
            </w:tcBorders>
            <w:shd w:val="clear" w:color="auto" w:fill="auto"/>
            <w:noWrap/>
            <w:vAlign w:val="bottom"/>
            <w:hideMark/>
          </w:tcPr>
          <w:p w14:paraId="1CEF288D"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1DF3595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0.027%</w:t>
            </w:r>
          </w:p>
        </w:tc>
        <w:tc>
          <w:tcPr>
            <w:tcW w:w="1353" w:type="dxa"/>
            <w:tcBorders>
              <w:top w:val="nil"/>
              <w:left w:val="nil"/>
              <w:bottom w:val="single" w:sz="4" w:space="0" w:color="auto"/>
              <w:right w:val="single" w:sz="4" w:space="0" w:color="auto"/>
            </w:tcBorders>
            <w:shd w:val="clear" w:color="auto" w:fill="auto"/>
            <w:noWrap/>
            <w:vAlign w:val="bottom"/>
            <w:hideMark/>
          </w:tcPr>
          <w:p w14:paraId="1BB6B68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2FF9FDDF"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4378C9F9"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Waste Management</w:t>
            </w:r>
          </w:p>
        </w:tc>
        <w:tc>
          <w:tcPr>
            <w:tcW w:w="1039" w:type="dxa"/>
            <w:tcBorders>
              <w:top w:val="nil"/>
              <w:left w:val="nil"/>
              <w:bottom w:val="single" w:sz="4" w:space="0" w:color="auto"/>
              <w:right w:val="single" w:sz="4" w:space="0" w:color="auto"/>
            </w:tcBorders>
            <w:shd w:val="clear" w:color="auto" w:fill="auto"/>
            <w:noWrap/>
            <w:vAlign w:val="bottom"/>
            <w:hideMark/>
          </w:tcPr>
          <w:p w14:paraId="0BE9263C"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0A6C77EF"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E41BEC6"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3B409F8D"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3935B42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5C4DCE8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6A1D8A96"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248D1726"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Solid Waste (CH</w:t>
            </w:r>
            <w:r w:rsidRPr="00BE45CA">
              <w:rPr>
                <w:rFonts w:eastAsia="Times New Roman" w:cs="Calibri"/>
                <w:color w:val="auto"/>
                <w:vertAlign w:val="subscript"/>
              </w:rPr>
              <w:t>4</w:t>
            </w:r>
            <w:r w:rsidRPr="00BE45CA">
              <w:rPr>
                <w:rFonts w:eastAsia="Times New Roman" w:cs="Calibri"/>
                <w:color w:val="auto"/>
              </w:rPr>
              <w:t>, N</w:t>
            </w:r>
            <w:r w:rsidRPr="00BE45CA">
              <w:rPr>
                <w:rFonts w:eastAsia="Times New Roman" w:cs="Calibri"/>
                <w:color w:val="auto"/>
                <w:vertAlign w:val="subscript"/>
              </w:rPr>
              <w:t>2</w:t>
            </w:r>
            <w:r w:rsidRPr="00BE45CA">
              <w:rPr>
                <w:rFonts w:eastAsia="Times New Roman" w:cs="Calibri"/>
                <w:color w:val="auto"/>
              </w:rPr>
              <w:t>O)</w:t>
            </w:r>
          </w:p>
        </w:tc>
        <w:tc>
          <w:tcPr>
            <w:tcW w:w="1039" w:type="dxa"/>
            <w:tcBorders>
              <w:top w:val="nil"/>
              <w:left w:val="nil"/>
              <w:bottom w:val="single" w:sz="4" w:space="0" w:color="auto"/>
              <w:right w:val="single" w:sz="4" w:space="0" w:color="auto"/>
            </w:tcBorders>
            <w:shd w:val="clear" w:color="auto" w:fill="auto"/>
            <w:noWrap/>
            <w:vAlign w:val="bottom"/>
            <w:hideMark/>
          </w:tcPr>
          <w:p w14:paraId="53BDDD0D"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2.459%</w:t>
            </w:r>
          </w:p>
        </w:tc>
        <w:tc>
          <w:tcPr>
            <w:tcW w:w="1350" w:type="dxa"/>
            <w:tcBorders>
              <w:top w:val="nil"/>
              <w:left w:val="nil"/>
              <w:bottom w:val="single" w:sz="4" w:space="0" w:color="auto"/>
              <w:right w:val="single" w:sz="4" w:space="0" w:color="auto"/>
            </w:tcBorders>
            <w:shd w:val="clear" w:color="auto" w:fill="auto"/>
            <w:noWrap/>
            <w:vAlign w:val="bottom"/>
            <w:hideMark/>
          </w:tcPr>
          <w:p w14:paraId="35D62A2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741C836B"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2.769%</w:t>
            </w:r>
          </w:p>
        </w:tc>
        <w:tc>
          <w:tcPr>
            <w:tcW w:w="1170" w:type="dxa"/>
            <w:tcBorders>
              <w:top w:val="nil"/>
              <w:left w:val="nil"/>
              <w:bottom w:val="single" w:sz="4" w:space="0" w:color="auto"/>
              <w:right w:val="single" w:sz="4" w:space="0" w:color="auto"/>
            </w:tcBorders>
            <w:shd w:val="clear" w:color="auto" w:fill="auto"/>
            <w:noWrap/>
            <w:vAlign w:val="bottom"/>
            <w:hideMark/>
          </w:tcPr>
          <w:p w14:paraId="04EA8ADF"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34DE4F2D"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0.942%</w:t>
            </w:r>
          </w:p>
        </w:tc>
        <w:tc>
          <w:tcPr>
            <w:tcW w:w="1353" w:type="dxa"/>
            <w:tcBorders>
              <w:top w:val="nil"/>
              <w:left w:val="nil"/>
              <w:bottom w:val="single" w:sz="4" w:space="0" w:color="auto"/>
              <w:right w:val="single" w:sz="4" w:space="0" w:color="auto"/>
            </w:tcBorders>
            <w:shd w:val="clear" w:color="auto" w:fill="auto"/>
            <w:noWrap/>
            <w:vAlign w:val="bottom"/>
            <w:hideMark/>
          </w:tcPr>
          <w:p w14:paraId="4F9033B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2B8A95C7"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0A5A8DCA"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Wastewater</w:t>
            </w:r>
          </w:p>
        </w:tc>
        <w:tc>
          <w:tcPr>
            <w:tcW w:w="1039" w:type="dxa"/>
            <w:tcBorders>
              <w:top w:val="nil"/>
              <w:left w:val="nil"/>
              <w:bottom w:val="single" w:sz="4" w:space="0" w:color="auto"/>
              <w:right w:val="single" w:sz="4" w:space="0" w:color="auto"/>
            </w:tcBorders>
            <w:shd w:val="clear" w:color="auto" w:fill="auto"/>
            <w:noWrap/>
            <w:vAlign w:val="bottom"/>
            <w:hideMark/>
          </w:tcPr>
          <w:p w14:paraId="4EFE2412"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0.575%</w:t>
            </w:r>
          </w:p>
        </w:tc>
        <w:tc>
          <w:tcPr>
            <w:tcW w:w="1350" w:type="dxa"/>
            <w:tcBorders>
              <w:top w:val="nil"/>
              <w:left w:val="nil"/>
              <w:bottom w:val="single" w:sz="4" w:space="0" w:color="auto"/>
              <w:right w:val="single" w:sz="4" w:space="0" w:color="auto"/>
            </w:tcBorders>
            <w:shd w:val="clear" w:color="auto" w:fill="auto"/>
            <w:noWrap/>
            <w:vAlign w:val="bottom"/>
            <w:hideMark/>
          </w:tcPr>
          <w:p w14:paraId="06BAAE6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1080" w:type="dxa"/>
            <w:tcBorders>
              <w:top w:val="nil"/>
              <w:left w:val="nil"/>
              <w:bottom w:val="single" w:sz="4" w:space="0" w:color="auto"/>
              <w:right w:val="single" w:sz="4" w:space="0" w:color="auto"/>
            </w:tcBorders>
            <w:shd w:val="clear" w:color="auto" w:fill="auto"/>
            <w:noWrap/>
            <w:vAlign w:val="bottom"/>
            <w:hideMark/>
          </w:tcPr>
          <w:p w14:paraId="42C102BA"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0.603%</w:t>
            </w:r>
          </w:p>
        </w:tc>
        <w:tc>
          <w:tcPr>
            <w:tcW w:w="1170" w:type="dxa"/>
            <w:tcBorders>
              <w:top w:val="nil"/>
              <w:left w:val="nil"/>
              <w:bottom w:val="single" w:sz="4" w:space="0" w:color="auto"/>
              <w:right w:val="single" w:sz="4" w:space="0" w:color="auto"/>
            </w:tcBorders>
            <w:shd w:val="clear" w:color="auto" w:fill="auto"/>
            <w:noWrap/>
            <w:vAlign w:val="bottom"/>
            <w:hideMark/>
          </w:tcPr>
          <w:p w14:paraId="01926F98"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c>
          <w:tcPr>
            <w:tcW w:w="987" w:type="dxa"/>
            <w:tcBorders>
              <w:top w:val="nil"/>
              <w:left w:val="nil"/>
              <w:bottom w:val="single" w:sz="4" w:space="0" w:color="auto"/>
              <w:right w:val="single" w:sz="4" w:space="0" w:color="auto"/>
            </w:tcBorders>
            <w:shd w:val="clear" w:color="auto" w:fill="auto"/>
            <w:noWrap/>
            <w:vAlign w:val="bottom"/>
            <w:hideMark/>
          </w:tcPr>
          <w:p w14:paraId="69CFBB69"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0.681%</w:t>
            </w:r>
          </w:p>
        </w:tc>
        <w:tc>
          <w:tcPr>
            <w:tcW w:w="1353" w:type="dxa"/>
            <w:tcBorders>
              <w:top w:val="nil"/>
              <w:left w:val="nil"/>
              <w:bottom w:val="single" w:sz="4" w:space="0" w:color="auto"/>
              <w:right w:val="single" w:sz="4" w:space="0" w:color="auto"/>
            </w:tcBorders>
            <w:shd w:val="clear" w:color="auto" w:fill="auto"/>
            <w:noWrap/>
            <w:vAlign w:val="bottom"/>
            <w:hideMark/>
          </w:tcPr>
          <w:p w14:paraId="615596E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No</w:t>
            </w:r>
          </w:p>
        </w:tc>
      </w:tr>
      <w:tr w:rsidR="00A51AB0" w:rsidRPr="00BE45CA" w14:paraId="1C03F7C9" w14:textId="77777777" w:rsidTr="005A2D13">
        <w:trPr>
          <w:trHeight w:val="312"/>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7EA0AAD0" w14:textId="77777777" w:rsidR="00A51AB0" w:rsidRPr="00BE45CA" w:rsidRDefault="00A51AB0" w:rsidP="005A2D13">
            <w:pPr>
              <w:spacing w:after="0" w:line="240" w:lineRule="auto"/>
              <w:rPr>
                <w:rFonts w:eastAsia="Times New Roman" w:cs="Calibri"/>
                <w:b/>
                <w:bCs/>
                <w:color w:val="auto"/>
                <w:szCs w:val="24"/>
              </w:rPr>
            </w:pPr>
            <w:r w:rsidRPr="00BE45CA">
              <w:rPr>
                <w:rFonts w:eastAsia="Times New Roman" w:cs="Calibri"/>
                <w:b/>
                <w:bCs/>
                <w:color w:val="auto"/>
                <w:szCs w:val="24"/>
              </w:rPr>
              <w:t>Agriculture</w:t>
            </w:r>
          </w:p>
        </w:tc>
        <w:tc>
          <w:tcPr>
            <w:tcW w:w="1039" w:type="dxa"/>
            <w:tcBorders>
              <w:top w:val="nil"/>
              <w:left w:val="nil"/>
              <w:bottom w:val="single" w:sz="4" w:space="0" w:color="auto"/>
              <w:right w:val="single" w:sz="4" w:space="0" w:color="auto"/>
            </w:tcBorders>
            <w:shd w:val="clear" w:color="auto" w:fill="auto"/>
            <w:noWrap/>
            <w:vAlign w:val="bottom"/>
            <w:hideMark/>
          </w:tcPr>
          <w:p w14:paraId="74C5DE40"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350" w:type="dxa"/>
            <w:tcBorders>
              <w:top w:val="nil"/>
              <w:left w:val="nil"/>
              <w:bottom w:val="single" w:sz="4" w:space="0" w:color="auto"/>
              <w:right w:val="single" w:sz="4" w:space="0" w:color="auto"/>
            </w:tcBorders>
            <w:shd w:val="clear" w:color="auto" w:fill="auto"/>
            <w:noWrap/>
            <w:vAlign w:val="bottom"/>
            <w:hideMark/>
          </w:tcPr>
          <w:p w14:paraId="65EC44A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4125079" w14:textId="77777777" w:rsidR="00A51AB0" w:rsidRPr="00BE45CA" w:rsidRDefault="00A51AB0" w:rsidP="005A2D13">
            <w:pPr>
              <w:spacing w:after="0" w:line="240" w:lineRule="auto"/>
              <w:rPr>
                <w:rFonts w:eastAsia="Times New Roman" w:cs="Calibri"/>
                <w:b/>
                <w:bCs/>
                <w:color w:val="000000"/>
                <w:szCs w:val="24"/>
              </w:rPr>
            </w:pPr>
            <w:r w:rsidRPr="00BE45CA">
              <w:rPr>
                <w:rFonts w:eastAsia="Times New Roman" w:cs="Calibri"/>
                <w:b/>
                <w:bCs/>
                <w:color w:val="000000"/>
                <w:szCs w:val="24"/>
              </w:rPr>
              <w:t> </w:t>
            </w:r>
          </w:p>
        </w:tc>
        <w:tc>
          <w:tcPr>
            <w:tcW w:w="1170" w:type="dxa"/>
            <w:tcBorders>
              <w:top w:val="nil"/>
              <w:left w:val="nil"/>
              <w:bottom w:val="single" w:sz="4" w:space="0" w:color="auto"/>
              <w:right w:val="single" w:sz="4" w:space="0" w:color="auto"/>
            </w:tcBorders>
            <w:shd w:val="clear" w:color="auto" w:fill="auto"/>
            <w:noWrap/>
            <w:vAlign w:val="bottom"/>
            <w:hideMark/>
          </w:tcPr>
          <w:p w14:paraId="3DA60654"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987" w:type="dxa"/>
            <w:tcBorders>
              <w:top w:val="nil"/>
              <w:left w:val="nil"/>
              <w:bottom w:val="single" w:sz="4" w:space="0" w:color="auto"/>
              <w:right w:val="single" w:sz="4" w:space="0" w:color="auto"/>
            </w:tcBorders>
            <w:shd w:val="clear" w:color="auto" w:fill="auto"/>
            <w:noWrap/>
            <w:vAlign w:val="bottom"/>
            <w:hideMark/>
          </w:tcPr>
          <w:p w14:paraId="254D8C3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c>
          <w:tcPr>
            <w:tcW w:w="1353" w:type="dxa"/>
            <w:tcBorders>
              <w:top w:val="nil"/>
              <w:left w:val="nil"/>
              <w:bottom w:val="single" w:sz="4" w:space="0" w:color="auto"/>
              <w:right w:val="single" w:sz="4" w:space="0" w:color="auto"/>
            </w:tcBorders>
            <w:shd w:val="clear" w:color="auto" w:fill="auto"/>
            <w:noWrap/>
            <w:vAlign w:val="bottom"/>
            <w:hideMark/>
          </w:tcPr>
          <w:p w14:paraId="2B093A07"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r w:rsidR="00A51AB0" w:rsidRPr="00BE45CA" w14:paraId="5B477BAC"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5F459A4E"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Enteric Fermentation</w:t>
            </w:r>
          </w:p>
        </w:tc>
        <w:tc>
          <w:tcPr>
            <w:tcW w:w="1039" w:type="dxa"/>
            <w:tcBorders>
              <w:top w:val="nil"/>
              <w:left w:val="nil"/>
              <w:bottom w:val="single" w:sz="4" w:space="0" w:color="auto"/>
              <w:right w:val="single" w:sz="4" w:space="0" w:color="auto"/>
            </w:tcBorders>
            <w:shd w:val="clear" w:color="auto" w:fill="auto"/>
            <w:noWrap/>
            <w:vAlign w:val="bottom"/>
            <w:hideMark/>
          </w:tcPr>
          <w:p w14:paraId="0C3D9CB3"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8.062%</w:t>
            </w:r>
          </w:p>
        </w:tc>
        <w:tc>
          <w:tcPr>
            <w:tcW w:w="1350" w:type="dxa"/>
            <w:tcBorders>
              <w:top w:val="nil"/>
              <w:left w:val="nil"/>
              <w:bottom w:val="single" w:sz="4" w:space="0" w:color="auto"/>
              <w:right w:val="single" w:sz="4" w:space="0" w:color="auto"/>
            </w:tcBorders>
            <w:shd w:val="clear" w:color="auto" w:fill="auto"/>
            <w:noWrap/>
            <w:vAlign w:val="bottom"/>
            <w:hideMark/>
          </w:tcPr>
          <w:p w14:paraId="32B123E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50BAC9C1"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6.353%</w:t>
            </w:r>
          </w:p>
        </w:tc>
        <w:tc>
          <w:tcPr>
            <w:tcW w:w="1170" w:type="dxa"/>
            <w:tcBorders>
              <w:top w:val="nil"/>
              <w:left w:val="nil"/>
              <w:bottom w:val="single" w:sz="4" w:space="0" w:color="auto"/>
              <w:right w:val="single" w:sz="4" w:space="0" w:color="auto"/>
            </w:tcBorders>
            <w:shd w:val="clear" w:color="auto" w:fill="auto"/>
            <w:noWrap/>
            <w:vAlign w:val="bottom"/>
            <w:hideMark/>
          </w:tcPr>
          <w:p w14:paraId="28DAC87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6C49E89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7.483%</w:t>
            </w:r>
          </w:p>
        </w:tc>
        <w:tc>
          <w:tcPr>
            <w:tcW w:w="1353" w:type="dxa"/>
            <w:tcBorders>
              <w:top w:val="nil"/>
              <w:left w:val="nil"/>
              <w:bottom w:val="single" w:sz="4" w:space="0" w:color="auto"/>
              <w:right w:val="single" w:sz="4" w:space="0" w:color="auto"/>
            </w:tcBorders>
            <w:shd w:val="clear" w:color="auto" w:fill="auto"/>
            <w:noWrap/>
            <w:vAlign w:val="bottom"/>
            <w:hideMark/>
          </w:tcPr>
          <w:p w14:paraId="6A6C640F"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57DF9959"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606068B9"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Manure Management</w:t>
            </w:r>
          </w:p>
        </w:tc>
        <w:tc>
          <w:tcPr>
            <w:tcW w:w="1039" w:type="dxa"/>
            <w:tcBorders>
              <w:top w:val="nil"/>
              <w:left w:val="nil"/>
              <w:bottom w:val="single" w:sz="4" w:space="0" w:color="auto"/>
              <w:right w:val="single" w:sz="4" w:space="0" w:color="auto"/>
            </w:tcBorders>
            <w:shd w:val="clear" w:color="auto" w:fill="auto"/>
            <w:noWrap/>
            <w:vAlign w:val="bottom"/>
            <w:hideMark/>
          </w:tcPr>
          <w:p w14:paraId="6D9E68FB"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2.066%</w:t>
            </w:r>
          </w:p>
        </w:tc>
        <w:tc>
          <w:tcPr>
            <w:tcW w:w="1350" w:type="dxa"/>
            <w:tcBorders>
              <w:top w:val="nil"/>
              <w:left w:val="nil"/>
              <w:bottom w:val="single" w:sz="4" w:space="0" w:color="auto"/>
              <w:right w:val="single" w:sz="4" w:space="0" w:color="auto"/>
            </w:tcBorders>
            <w:shd w:val="clear" w:color="auto" w:fill="auto"/>
            <w:noWrap/>
            <w:vAlign w:val="bottom"/>
            <w:hideMark/>
          </w:tcPr>
          <w:p w14:paraId="712E54F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197ED4F6"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3.323%</w:t>
            </w:r>
          </w:p>
        </w:tc>
        <w:tc>
          <w:tcPr>
            <w:tcW w:w="1170" w:type="dxa"/>
            <w:tcBorders>
              <w:top w:val="nil"/>
              <w:left w:val="nil"/>
              <w:bottom w:val="single" w:sz="4" w:space="0" w:color="auto"/>
              <w:right w:val="single" w:sz="4" w:space="0" w:color="auto"/>
            </w:tcBorders>
            <w:shd w:val="clear" w:color="auto" w:fill="auto"/>
            <w:noWrap/>
            <w:vAlign w:val="bottom"/>
            <w:hideMark/>
          </w:tcPr>
          <w:p w14:paraId="31BCA8A0"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2D9DD200"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4.121%</w:t>
            </w:r>
          </w:p>
        </w:tc>
        <w:tc>
          <w:tcPr>
            <w:tcW w:w="1353" w:type="dxa"/>
            <w:tcBorders>
              <w:top w:val="nil"/>
              <w:left w:val="nil"/>
              <w:bottom w:val="single" w:sz="4" w:space="0" w:color="auto"/>
              <w:right w:val="single" w:sz="4" w:space="0" w:color="auto"/>
            </w:tcBorders>
            <w:shd w:val="clear" w:color="auto" w:fill="auto"/>
            <w:noWrap/>
            <w:vAlign w:val="bottom"/>
            <w:hideMark/>
          </w:tcPr>
          <w:p w14:paraId="1A8E159B"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3828BA54"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noWrap/>
            <w:vAlign w:val="bottom"/>
            <w:hideMark/>
          </w:tcPr>
          <w:p w14:paraId="380AD475"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Agricultural Soils</w:t>
            </w:r>
          </w:p>
        </w:tc>
        <w:tc>
          <w:tcPr>
            <w:tcW w:w="1039" w:type="dxa"/>
            <w:tcBorders>
              <w:top w:val="nil"/>
              <w:left w:val="nil"/>
              <w:bottom w:val="single" w:sz="4" w:space="0" w:color="auto"/>
              <w:right w:val="single" w:sz="4" w:space="0" w:color="auto"/>
            </w:tcBorders>
            <w:shd w:val="clear" w:color="auto" w:fill="auto"/>
            <w:noWrap/>
            <w:vAlign w:val="bottom"/>
            <w:hideMark/>
          </w:tcPr>
          <w:p w14:paraId="12856047"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4.035%</w:t>
            </w:r>
          </w:p>
        </w:tc>
        <w:tc>
          <w:tcPr>
            <w:tcW w:w="1350" w:type="dxa"/>
            <w:tcBorders>
              <w:top w:val="nil"/>
              <w:left w:val="nil"/>
              <w:bottom w:val="single" w:sz="4" w:space="0" w:color="auto"/>
              <w:right w:val="single" w:sz="4" w:space="0" w:color="auto"/>
            </w:tcBorders>
            <w:shd w:val="clear" w:color="auto" w:fill="auto"/>
            <w:noWrap/>
            <w:vAlign w:val="bottom"/>
            <w:hideMark/>
          </w:tcPr>
          <w:p w14:paraId="21CB3A1E"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1080" w:type="dxa"/>
            <w:tcBorders>
              <w:top w:val="nil"/>
              <w:left w:val="nil"/>
              <w:bottom w:val="single" w:sz="4" w:space="0" w:color="auto"/>
              <w:right w:val="single" w:sz="4" w:space="0" w:color="auto"/>
            </w:tcBorders>
            <w:shd w:val="clear" w:color="auto" w:fill="auto"/>
            <w:noWrap/>
            <w:vAlign w:val="bottom"/>
            <w:hideMark/>
          </w:tcPr>
          <w:p w14:paraId="0C815ED4"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3.222%</w:t>
            </w:r>
          </w:p>
        </w:tc>
        <w:tc>
          <w:tcPr>
            <w:tcW w:w="1170" w:type="dxa"/>
            <w:tcBorders>
              <w:top w:val="nil"/>
              <w:left w:val="nil"/>
              <w:bottom w:val="single" w:sz="4" w:space="0" w:color="auto"/>
              <w:right w:val="single" w:sz="4" w:space="0" w:color="auto"/>
            </w:tcBorders>
            <w:shd w:val="clear" w:color="auto" w:fill="auto"/>
            <w:noWrap/>
            <w:vAlign w:val="bottom"/>
            <w:hideMark/>
          </w:tcPr>
          <w:p w14:paraId="5A1F9AE5"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c>
          <w:tcPr>
            <w:tcW w:w="987" w:type="dxa"/>
            <w:tcBorders>
              <w:top w:val="nil"/>
              <w:left w:val="nil"/>
              <w:bottom w:val="single" w:sz="4" w:space="0" w:color="auto"/>
              <w:right w:val="single" w:sz="4" w:space="0" w:color="auto"/>
            </w:tcBorders>
            <w:shd w:val="clear" w:color="auto" w:fill="auto"/>
            <w:noWrap/>
            <w:vAlign w:val="bottom"/>
            <w:hideMark/>
          </w:tcPr>
          <w:p w14:paraId="09861FA8"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3.802%</w:t>
            </w:r>
          </w:p>
        </w:tc>
        <w:tc>
          <w:tcPr>
            <w:tcW w:w="1353" w:type="dxa"/>
            <w:tcBorders>
              <w:top w:val="nil"/>
              <w:left w:val="nil"/>
              <w:bottom w:val="single" w:sz="4" w:space="0" w:color="auto"/>
              <w:right w:val="single" w:sz="4" w:space="0" w:color="auto"/>
            </w:tcBorders>
            <w:shd w:val="clear" w:color="auto" w:fill="auto"/>
            <w:noWrap/>
            <w:vAlign w:val="bottom"/>
            <w:hideMark/>
          </w:tcPr>
          <w:p w14:paraId="7979290C"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Yes</w:t>
            </w:r>
          </w:p>
        </w:tc>
      </w:tr>
      <w:tr w:rsidR="00A51AB0" w:rsidRPr="00BE45CA" w14:paraId="62F8F668" w14:textId="77777777" w:rsidTr="005A2D13">
        <w:trPr>
          <w:trHeight w:val="288"/>
          <w:jc w:val="center"/>
        </w:trPr>
        <w:tc>
          <w:tcPr>
            <w:tcW w:w="3546" w:type="dxa"/>
            <w:tcBorders>
              <w:top w:val="nil"/>
              <w:left w:val="single" w:sz="4" w:space="0" w:color="auto"/>
              <w:bottom w:val="single" w:sz="4" w:space="0" w:color="auto"/>
              <w:right w:val="single" w:sz="4" w:space="0" w:color="auto"/>
            </w:tcBorders>
            <w:shd w:val="clear" w:color="auto" w:fill="auto"/>
            <w:vAlign w:val="bottom"/>
            <w:hideMark/>
          </w:tcPr>
          <w:p w14:paraId="0D8103DB" w14:textId="77777777" w:rsidR="00A51AB0" w:rsidRPr="00BE45CA" w:rsidRDefault="00A51AB0" w:rsidP="005A2D13">
            <w:pPr>
              <w:spacing w:after="0" w:line="240" w:lineRule="auto"/>
              <w:rPr>
                <w:rFonts w:eastAsia="Times New Roman" w:cs="Calibri"/>
                <w:color w:val="auto"/>
              </w:rPr>
            </w:pPr>
            <w:r w:rsidRPr="00BE45CA">
              <w:rPr>
                <w:rFonts w:eastAsia="Times New Roman" w:cs="Calibri"/>
                <w:color w:val="auto"/>
              </w:rPr>
              <w:t>Liming and Urea Fertilization</w:t>
            </w:r>
          </w:p>
        </w:tc>
        <w:tc>
          <w:tcPr>
            <w:tcW w:w="1039" w:type="dxa"/>
            <w:tcBorders>
              <w:top w:val="nil"/>
              <w:left w:val="nil"/>
              <w:bottom w:val="single" w:sz="4" w:space="0" w:color="auto"/>
              <w:right w:val="single" w:sz="4" w:space="0" w:color="auto"/>
            </w:tcBorders>
            <w:shd w:val="clear" w:color="auto" w:fill="auto"/>
            <w:noWrap/>
            <w:vAlign w:val="bottom"/>
            <w:hideMark/>
          </w:tcPr>
          <w:p w14:paraId="297DAC25"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0.031%</w:t>
            </w:r>
          </w:p>
        </w:tc>
        <w:tc>
          <w:tcPr>
            <w:tcW w:w="1350" w:type="dxa"/>
            <w:tcBorders>
              <w:top w:val="nil"/>
              <w:left w:val="nil"/>
              <w:bottom w:val="single" w:sz="4" w:space="0" w:color="auto"/>
              <w:right w:val="single" w:sz="4" w:space="0" w:color="auto"/>
            </w:tcBorders>
            <w:shd w:val="clear" w:color="auto" w:fill="auto"/>
            <w:vAlign w:val="bottom"/>
            <w:hideMark/>
          </w:tcPr>
          <w:p w14:paraId="5541DB23" w14:textId="77777777" w:rsidR="00A51AB0" w:rsidRPr="00BE45CA" w:rsidRDefault="00A51AB0" w:rsidP="005A2D13">
            <w:pPr>
              <w:spacing w:after="0" w:line="240" w:lineRule="auto"/>
              <w:rPr>
                <w:rFonts w:eastAsia="Times New Roman" w:cs="Calibri"/>
                <w:color w:val="FF0000"/>
                <w:sz w:val="18"/>
                <w:szCs w:val="18"/>
              </w:rPr>
            </w:pPr>
            <w:r w:rsidRPr="00BE45CA">
              <w:rPr>
                <w:rFonts w:eastAsia="Times New Roman" w:cs="Calibri"/>
                <w:color w:val="FF0000"/>
                <w:sz w:val="18"/>
                <w:szCs w:val="18"/>
              </w:rPr>
              <w:t> </w:t>
            </w:r>
          </w:p>
        </w:tc>
        <w:tc>
          <w:tcPr>
            <w:tcW w:w="1080" w:type="dxa"/>
            <w:tcBorders>
              <w:top w:val="nil"/>
              <w:left w:val="nil"/>
              <w:bottom w:val="single" w:sz="4" w:space="0" w:color="auto"/>
              <w:right w:val="single" w:sz="4" w:space="0" w:color="auto"/>
            </w:tcBorders>
            <w:shd w:val="clear" w:color="auto" w:fill="auto"/>
            <w:noWrap/>
            <w:vAlign w:val="bottom"/>
            <w:hideMark/>
          </w:tcPr>
          <w:p w14:paraId="5A80A36E"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0.035%</w:t>
            </w:r>
          </w:p>
        </w:tc>
        <w:tc>
          <w:tcPr>
            <w:tcW w:w="1170" w:type="dxa"/>
            <w:tcBorders>
              <w:top w:val="nil"/>
              <w:left w:val="nil"/>
              <w:bottom w:val="single" w:sz="4" w:space="0" w:color="auto"/>
              <w:right w:val="single" w:sz="4" w:space="0" w:color="auto"/>
            </w:tcBorders>
            <w:shd w:val="clear" w:color="auto" w:fill="auto"/>
            <w:vAlign w:val="bottom"/>
            <w:hideMark/>
          </w:tcPr>
          <w:p w14:paraId="140AAB60" w14:textId="77777777" w:rsidR="00A51AB0" w:rsidRPr="00BE45CA" w:rsidRDefault="00A51AB0" w:rsidP="005A2D13">
            <w:pPr>
              <w:spacing w:after="0" w:line="240" w:lineRule="auto"/>
              <w:rPr>
                <w:rFonts w:eastAsia="Times New Roman" w:cs="Calibri"/>
                <w:color w:val="FF0000"/>
                <w:sz w:val="18"/>
                <w:szCs w:val="18"/>
              </w:rPr>
            </w:pPr>
            <w:r w:rsidRPr="00BE45CA">
              <w:rPr>
                <w:rFonts w:eastAsia="Times New Roman" w:cs="Calibri"/>
                <w:color w:val="FF0000"/>
                <w:sz w:val="18"/>
                <w:szCs w:val="18"/>
              </w:rPr>
              <w:t> </w:t>
            </w:r>
          </w:p>
        </w:tc>
        <w:tc>
          <w:tcPr>
            <w:tcW w:w="987" w:type="dxa"/>
            <w:tcBorders>
              <w:top w:val="nil"/>
              <w:left w:val="nil"/>
              <w:bottom w:val="single" w:sz="4" w:space="0" w:color="auto"/>
              <w:right w:val="single" w:sz="4" w:space="0" w:color="auto"/>
            </w:tcBorders>
            <w:shd w:val="clear" w:color="auto" w:fill="auto"/>
            <w:noWrap/>
            <w:vAlign w:val="bottom"/>
            <w:hideMark/>
          </w:tcPr>
          <w:p w14:paraId="785D3160" w14:textId="77777777" w:rsidR="00A51AB0" w:rsidRPr="00BE45CA" w:rsidRDefault="00A51AB0" w:rsidP="005A2D13">
            <w:pPr>
              <w:spacing w:after="0" w:line="240" w:lineRule="auto"/>
              <w:jc w:val="right"/>
              <w:rPr>
                <w:rFonts w:eastAsia="Times New Roman" w:cs="Calibri"/>
                <w:color w:val="000000"/>
              </w:rPr>
            </w:pPr>
            <w:r w:rsidRPr="00BE45CA">
              <w:rPr>
                <w:rFonts w:eastAsia="Times New Roman" w:cs="Calibri"/>
                <w:color w:val="000000"/>
              </w:rPr>
              <w:t>0.552%</w:t>
            </w:r>
          </w:p>
        </w:tc>
        <w:tc>
          <w:tcPr>
            <w:tcW w:w="1353" w:type="dxa"/>
            <w:tcBorders>
              <w:top w:val="nil"/>
              <w:left w:val="nil"/>
              <w:bottom w:val="single" w:sz="4" w:space="0" w:color="auto"/>
              <w:right w:val="single" w:sz="4" w:space="0" w:color="auto"/>
            </w:tcBorders>
            <w:shd w:val="clear" w:color="auto" w:fill="auto"/>
            <w:noWrap/>
            <w:vAlign w:val="bottom"/>
            <w:hideMark/>
          </w:tcPr>
          <w:p w14:paraId="2A3C3639" w14:textId="77777777" w:rsidR="00A51AB0" w:rsidRPr="00BE45CA" w:rsidRDefault="00A51AB0" w:rsidP="005A2D13">
            <w:pPr>
              <w:spacing w:after="0" w:line="240" w:lineRule="auto"/>
              <w:rPr>
                <w:rFonts w:eastAsia="Times New Roman" w:cs="Calibri"/>
                <w:color w:val="000000"/>
              </w:rPr>
            </w:pPr>
            <w:r w:rsidRPr="00BE45CA">
              <w:rPr>
                <w:rFonts w:eastAsia="Times New Roman" w:cs="Calibri"/>
                <w:color w:val="000000"/>
              </w:rPr>
              <w:t> </w:t>
            </w:r>
          </w:p>
        </w:tc>
      </w:tr>
    </w:tbl>
    <w:p w14:paraId="171632C2" w14:textId="778F675F" w:rsidR="00755F5E" w:rsidRDefault="00755F5E" w:rsidP="00EF5CFE"/>
    <w:p w14:paraId="15F130BB" w14:textId="77777777" w:rsidR="008F7BF8" w:rsidRDefault="008F7BF8" w:rsidP="00EF5CFE"/>
    <w:p w14:paraId="2179B84F" w14:textId="77777777" w:rsidR="008F7BF8" w:rsidRDefault="008F7BF8" w:rsidP="00EF5CFE"/>
    <w:p w14:paraId="04B24C39" w14:textId="77777777" w:rsidR="008F7BF8" w:rsidRDefault="008F7BF8" w:rsidP="00EF5CFE"/>
    <w:p w14:paraId="1E07FB09" w14:textId="77777777" w:rsidR="008F7BF8" w:rsidRDefault="008F7BF8" w:rsidP="00EF5CFE"/>
    <w:p w14:paraId="43BB7341" w14:textId="77777777" w:rsidR="008F7BF8" w:rsidRDefault="008F7BF8" w:rsidP="00EF5CFE"/>
    <w:p w14:paraId="2DD9A268" w14:textId="77777777" w:rsidR="008F7BF8" w:rsidRDefault="008F7BF8" w:rsidP="00EF5CFE"/>
    <w:p w14:paraId="34CF6891" w14:textId="77777777" w:rsidR="008F7BF8" w:rsidRDefault="008F7BF8" w:rsidP="00EF5CFE"/>
    <w:p w14:paraId="4762E476" w14:textId="77777777" w:rsidR="008F7BF8" w:rsidRDefault="008F7BF8" w:rsidP="00EF5CFE"/>
    <w:p w14:paraId="2887FC01" w14:textId="77777777" w:rsidR="008F7BF8" w:rsidRDefault="008F7BF8" w:rsidP="00EF5CFE"/>
    <w:p w14:paraId="7D7FC73A" w14:textId="77777777" w:rsidR="006A0765" w:rsidRDefault="006A0765" w:rsidP="00EF5CFE">
      <w:pPr>
        <w:rPr>
          <w:sz w:val="32"/>
          <w:szCs w:val="32"/>
        </w:rPr>
      </w:pPr>
    </w:p>
    <w:p w14:paraId="440CA61B" w14:textId="419D1D45" w:rsidR="008F7BF8" w:rsidRPr="00602A77" w:rsidRDefault="00C02E8E" w:rsidP="00EF5CFE">
      <w:pPr>
        <w:rPr>
          <w:b/>
        </w:rPr>
      </w:pPr>
      <w:r w:rsidRPr="003E23D0">
        <w:rPr>
          <w:sz w:val="32"/>
          <w:szCs w:val="32"/>
        </w:rPr>
        <w:lastRenderedPageBreak/>
        <w:t>Appendix Table</w:t>
      </w:r>
      <w:r>
        <w:rPr>
          <w:sz w:val="32"/>
          <w:szCs w:val="32"/>
        </w:rPr>
        <w:t xml:space="preserve"> C-2</w:t>
      </w:r>
      <w:r w:rsidRPr="003E23D0">
        <w:rPr>
          <w:sz w:val="32"/>
          <w:szCs w:val="32"/>
        </w:rPr>
        <w:t>:</w:t>
      </w:r>
      <w:r w:rsidR="006A0765">
        <w:rPr>
          <w:sz w:val="32"/>
          <w:szCs w:val="32"/>
        </w:rPr>
        <w:t xml:space="preserve"> </w:t>
      </w:r>
      <w:r w:rsidRPr="003E23D0">
        <w:rPr>
          <w:sz w:val="32"/>
          <w:szCs w:val="32"/>
        </w:rPr>
        <w:t xml:space="preserve">Vermont </w:t>
      </w:r>
      <w:r>
        <w:rPr>
          <w:sz w:val="32"/>
          <w:szCs w:val="32"/>
        </w:rPr>
        <w:t>Key Category Analysis</w:t>
      </w:r>
      <w:r w:rsidR="006A0765">
        <w:rPr>
          <w:sz w:val="32"/>
          <w:szCs w:val="32"/>
        </w:rPr>
        <w:t xml:space="preserve"> by Trend Assessment</w:t>
      </w:r>
    </w:p>
    <w:tbl>
      <w:tblPr>
        <w:tblpPr w:leftFromText="180" w:rightFromText="180" w:vertAnchor="page" w:horzAnchor="page" w:tblpX="681" w:tblpY="2741"/>
        <w:tblW w:w="11218" w:type="dxa"/>
        <w:tblLook w:val="04A0" w:firstRow="1" w:lastRow="0" w:firstColumn="1" w:lastColumn="0" w:noHBand="0" w:noVBand="1"/>
      </w:tblPr>
      <w:tblGrid>
        <w:gridCol w:w="4087"/>
        <w:gridCol w:w="2767"/>
        <w:gridCol w:w="1718"/>
        <w:gridCol w:w="2646"/>
      </w:tblGrid>
      <w:tr w:rsidR="00225F94" w:rsidRPr="009F2C9F" w14:paraId="0B5DAB01" w14:textId="77777777" w:rsidTr="008F7BF8">
        <w:trPr>
          <w:trHeight w:val="900"/>
        </w:trPr>
        <w:tc>
          <w:tcPr>
            <w:tcW w:w="4087" w:type="dxa"/>
            <w:tcBorders>
              <w:top w:val="single" w:sz="4" w:space="0" w:color="9BC2E6"/>
              <w:left w:val="single" w:sz="4" w:space="0" w:color="9BC2E6"/>
              <w:bottom w:val="single" w:sz="4" w:space="0" w:color="9BC2E6"/>
              <w:right w:val="nil"/>
            </w:tcBorders>
            <w:shd w:val="clear" w:color="5B9BD5" w:fill="5B9BD5"/>
            <w:noWrap/>
            <w:vAlign w:val="bottom"/>
            <w:hideMark/>
          </w:tcPr>
          <w:p w14:paraId="06E80E60" w14:textId="77777777" w:rsidR="00225F94" w:rsidRPr="009F2C9F" w:rsidRDefault="00225F94" w:rsidP="00225F94">
            <w:pPr>
              <w:spacing w:after="0" w:line="240" w:lineRule="auto"/>
              <w:jc w:val="center"/>
              <w:rPr>
                <w:rFonts w:eastAsia="Times New Roman" w:cs="Calibri"/>
                <w:b/>
                <w:bCs/>
                <w:color w:val="FFFFFF"/>
                <w:sz w:val="36"/>
                <w:szCs w:val="36"/>
              </w:rPr>
            </w:pPr>
            <w:r w:rsidRPr="009F2C9F">
              <w:rPr>
                <w:rFonts w:eastAsia="Times New Roman" w:cs="Calibri"/>
                <w:b/>
                <w:bCs/>
                <w:color w:val="FFFFFF"/>
                <w:sz w:val="36"/>
                <w:szCs w:val="36"/>
              </w:rPr>
              <w:t>Sector</w:t>
            </w:r>
          </w:p>
        </w:tc>
        <w:tc>
          <w:tcPr>
            <w:tcW w:w="2767" w:type="dxa"/>
            <w:tcBorders>
              <w:top w:val="single" w:sz="4" w:space="0" w:color="9BC2E6"/>
              <w:left w:val="nil"/>
              <w:bottom w:val="single" w:sz="4" w:space="0" w:color="9BC2E6"/>
              <w:right w:val="nil"/>
            </w:tcBorders>
            <w:shd w:val="clear" w:color="5B9BD5" w:fill="5B9BD5"/>
            <w:vAlign w:val="bottom"/>
            <w:hideMark/>
          </w:tcPr>
          <w:p w14:paraId="0F7C32DF" w14:textId="77777777" w:rsidR="00225F94" w:rsidRPr="009F2C9F" w:rsidRDefault="00225F94" w:rsidP="00225F94">
            <w:pPr>
              <w:spacing w:after="0" w:line="240" w:lineRule="auto"/>
              <w:rPr>
                <w:rFonts w:eastAsia="Times New Roman" w:cs="Calibri"/>
                <w:b/>
                <w:bCs/>
                <w:color w:val="FFFFFF"/>
              </w:rPr>
            </w:pPr>
            <w:r w:rsidRPr="009F2C9F">
              <w:rPr>
                <w:rFonts w:eastAsia="Times New Roman" w:cs="Calibri"/>
                <w:b/>
                <w:bCs/>
                <w:color w:val="FFFFFF"/>
              </w:rPr>
              <w:t>Trend Assessment (1990-2019)</w:t>
            </w:r>
          </w:p>
        </w:tc>
        <w:tc>
          <w:tcPr>
            <w:tcW w:w="1718" w:type="dxa"/>
            <w:tcBorders>
              <w:top w:val="single" w:sz="4" w:space="0" w:color="9BC2E6"/>
              <w:left w:val="nil"/>
              <w:bottom w:val="single" w:sz="4" w:space="0" w:color="9BC2E6"/>
              <w:right w:val="nil"/>
            </w:tcBorders>
            <w:shd w:val="clear" w:color="5B9BD5" w:fill="5B9BD5"/>
            <w:vAlign w:val="bottom"/>
            <w:hideMark/>
          </w:tcPr>
          <w:p w14:paraId="2AB85F1E" w14:textId="77777777" w:rsidR="00225F94" w:rsidRPr="009F2C9F" w:rsidRDefault="00225F94" w:rsidP="00225F94">
            <w:pPr>
              <w:spacing w:after="0" w:line="240" w:lineRule="auto"/>
              <w:rPr>
                <w:rFonts w:eastAsia="Times New Roman" w:cs="Calibri"/>
                <w:b/>
                <w:bCs/>
                <w:color w:val="FFFFFF"/>
              </w:rPr>
            </w:pPr>
            <w:r w:rsidRPr="009F2C9F">
              <w:rPr>
                <w:rFonts w:eastAsia="Times New Roman" w:cs="Calibri"/>
                <w:b/>
                <w:bCs/>
                <w:color w:val="FFFFFF"/>
              </w:rPr>
              <w:t>Contribution to the trend</w:t>
            </w:r>
            <w:r w:rsidRPr="009F2C9F">
              <w:rPr>
                <w:rFonts w:eastAsia="Times New Roman" w:cs="Calibri"/>
                <w:b/>
                <w:bCs/>
                <w:color w:val="FFFFFF"/>
              </w:rPr>
              <w:br/>
              <w:t>(1990-2019)</w:t>
            </w:r>
          </w:p>
        </w:tc>
        <w:tc>
          <w:tcPr>
            <w:tcW w:w="2646" w:type="dxa"/>
            <w:tcBorders>
              <w:top w:val="single" w:sz="4" w:space="0" w:color="9BC2E6"/>
              <w:left w:val="nil"/>
              <w:bottom w:val="single" w:sz="4" w:space="0" w:color="9BC2E6"/>
              <w:right w:val="single" w:sz="4" w:space="0" w:color="9BC2E6"/>
            </w:tcBorders>
            <w:shd w:val="clear" w:color="5B9BD5" w:fill="5B9BD5"/>
            <w:vAlign w:val="bottom"/>
            <w:hideMark/>
          </w:tcPr>
          <w:p w14:paraId="7E25CE06" w14:textId="77777777" w:rsidR="00225F94" w:rsidRPr="009F2C9F" w:rsidRDefault="00225F94" w:rsidP="00225F94">
            <w:pPr>
              <w:spacing w:after="0" w:line="240" w:lineRule="auto"/>
              <w:rPr>
                <w:rFonts w:eastAsia="Times New Roman" w:cs="Calibri"/>
                <w:b/>
                <w:bCs/>
                <w:color w:val="FFFFFF"/>
              </w:rPr>
            </w:pPr>
            <w:r w:rsidRPr="009F2C9F">
              <w:rPr>
                <w:rFonts w:eastAsia="Times New Roman" w:cs="Calibri"/>
                <w:b/>
                <w:bCs/>
                <w:color w:val="FFFFFF"/>
              </w:rPr>
              <w:t>Cumulative total (1990-2019)</w:t>
            </w:r>
          </w:p>
        </w:tc>
      </w:tr>
      <w:tr w:rsidR="00225F94" w:rsidRPr="009F2C9F" w14:paraId="100E68AE"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2375EB5B"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Residual System Mix- Electricity Supply &amp; Demand</w:t>
            </w:r>
          </w:p>
        </w:tc>
        <w:tc>
          <w:tcPr>
            <w:tcW w:w="2767" w:type="dxa"/>
            <w:tcBorders>
              <w:top w:val="single" w:sz="4" w:space="0" w:color="9BC2E6"/>
              <w:left w:val="nil"/>
              <w:bottom w:val="single" w:sz="4" w:space="0" w:color="9BC2E6"/>
              <w:right w:val="nil"/>
            </w:tcBorders>
            <w:shd w:val="clear" w:color="DDEBF7" w:fill="DDEBF7"/>
            <w:noWrap/>
            <w:vAlign w:val="bottom"/>
            <w:hideMark/>
          </w:tcPr>
          <w:p w14:paraId="7DD2B90D"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18.491</w:t>
            </w:r>
          </w:p>
        </w:tc>
        <w:tc>
          <w:tcPr>
            <w:tcW w:w="1718" w:type="dxa"/>
            <w:tcBorders>
              <w:top w:val="single" w:sz="4" w:space="0" w:color="9BC2E6"/>
              <w:left w:val="nil"/>
              <w:bottom w:val="single" w:sz="4" w:space="0" w:color="9BC2E6"/>
              <w:right w:val="nil"/>
            </w:tcBorders>
            <w:shd w:val="clear" w:color="DDEBF7" w:fill="DDEBF7"/>
            <w:noWrap/>
            <w:vAlign w:val="bottom"/>
            <w:hideMark/>
          </w:tcPr>
          <w:p w14:paraId="1812345E"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0.316</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0D6FAB6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0.316</w:t>
            </w:r>
          </w:p>
        </w:tc>
      </w:tr>
      <w:tr w:rsidR="00225F94" w:rsidRPr="009F2C9F" w14:paraId="007E783E"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13D296C8" w14:textId="77777777" w:rsidR="00225F94" w:rsidRPr="009F2C9F" w:rsidRDefault="00225F94" w:rsidP="00225F94">
            <w:pPr>
              <w:spacing w:after="0" w:line="240" w:lineRule="auto"/>
              <w:rPr>
                <w:rFonts w:eastAsia="Times New Roman" w:cs="Calibri"/>
                <w:color w:val="auto"/>
              </w:rPr>
            </w:pPr>
            <w:bookmarkStart w:id="46" w:name="RANGE!A4"/>
            <w:r w:rsidRPr="009F2C9F">
              <w:rPr>
                <w:rFonts w:eastAsia="Times New Roman" w:cs="Calibri"/>
                <w:color w:val="auto"/>
              </w:rPr>
              <w:t>Natural Gas- Residential/ Commercial/ Industrial (RCI) Fuel Use</w:t>
            </w:r>
            <w:bookmarkEnd w:id="46"/>
          </w:p>
        </w:tc>
        <w:tc>
          <w:tcPr>
            <w:tcW w:w="2767" w:type="dxa"/>
            <w:tcBorders>
              <w:top w:val="single" w:sz="4" w:space="0" w:color="9BC2E6"/>
              <w:left w:val="nil"/>
              <w:bottom w:val="single" w:sz="4" w:space="0" w:color="9BC2E6"/>
              <w:right w:val="nil"/>
            </w:tcBorders>
            <w:shd w:val="clear" w:color="auto" w:fill="auto"/>
            <w:noWrap/>
            <w:vAlign w:val="bottom"/>
            <w:hideMark/>
          </w:tcPr>
          <w:p w14:paraId="10EF39A5"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8.854</w:t>
            </w:r>
          </w:p>
        </w:tc>
        <w:tc>
          <w:tcPr>
            <w:tcW w:w="1718" w:type="dxa"/>
            <w:tcBorders>
              <w:top w:val="single" w:sz="4" w:space="0" w:color="9BC2E6"/>
              <w:left w:val="nil"/>
              <w:bottom w:val="single" w:sz="4" w:space="0" w:color="9BC2E6"/>
              <w:right w:val="nil"/>
            </w:tcBorders>
            <w:shd w:val="clear" w:color="auto" w:fill="auto"/>
            <w:noWrap/>
            <w:vAlign w:val="bottom"/>
            <w:hideMark/>
          </w:tcPr>
          <w:p w14:paraId="4483314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0.151</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78055AE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0.467</w:t>
            </w:r>
          </w:p>
        </w:tc>
      </w:tr>
      <w:tr w:rsidR="00225F94" w:rsidRPr="009F2C9F" w14:paraId="7CCE6959"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0ED787EA"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ODS Substitutes</w:t>
            </w:r>
          </w:p>
        </w:tc>
        <w:tc>
          <w:tcPr>
            <w:tcW w:w="2767" w:type="dxa"/>
            <w:tcBorders>
              <w:top w:val="single" w:sz="4" w:space="0" w:color="9BC2E6"/>
              <w:left w:val="nil"/>
              <w:bottom w:val="single" w:sz="4" w:space="0" w:color="9BC2E6"/>
              <w:right w:val="nil"/>
            </w:tcBorders>
            <w:shd w:val="clear" w:color="DDEBF7" w:fill="DDEBF7"/>
            <w:noWrap/>
            <w:vAlign w:val="bottom"/>
            <w:hideMark/>
          </w:tcPr>
          <w:p w14:paraId="7D85E7F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7.274</w:t>
            </w:r>
          </w:p>
        </w:tc>
        <w:tc>
          <w:tcPr>
            <w:tcW w:w="1718" w:type="dxa"/>
            <w:tcBorders>
              <w:top w:val="single" w:sz="4" w:space="0" w:color="9BC2E6"/>
              <w:left w:val="nil"/>
              <w:bottom w:val="single" w:sz="4" w:space="0" w:color="9BC2E6"/>
              <w:right w:val="nil"/>
            </w:tcBorders>
            <w:shd w:val="clear" w:color="DDEBF7" w:fill="DDEBF7"/>
            <w:noWrap/>
            <w:vAlign w:val="bottom"/>
            <w:hideMark/>
          </w:tcPr>
          <w:p w14:paraId="15219AE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0.124</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45417FBE"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0.592</w:t>
            </w:r>
          </w:p>
        </w:tc>
      </w:tr>
      <w:tr w:rsidR="00225F94" w:rsidRPr="009F2C9F" w14:paraId="08DA0982"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15AC668F"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Diesel (</w:t>
            </w:r>
            <w:proofErr w:type="spellStart"/>
            <w:r w:rsidRPr="009F2C9F">
              <w:rPr>
                <w:rFonts w:eastAsia="Times New Roman" w:cs="Calibri"/>
                <w:color w:val="auto"/>
              </w:rPr>
              <w:t>Onroad</w:t>
            </w:r>
            <w:proofErr w:type="spellEnd"/>
            <w:r w:rsidRPr="009F2C9F">
              <w:rPr>
                <w:rFonts w:eastAsia="Times New Roman" w:cs="Calibri"/>
                <w:color w:val="auto"/>
              </w:rPr>
              <w:t xml:space="preserve"> and Nonroad) (CO</w:t>
            </w:r>
            <w:r w:rsidRPr="009F2C9F">
              <w:rPr>
                <w:rFonts w:eastAsia="Times New Roman" w:cs="Calibri"/>
                <w:color w:val="auto"/>
                <w:vertAlign w:val="subscript"/>
              </w:rPr>
              <w:t>2</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auto" w:fill="auto"/>
            <w:noWrap/>
            <w:vAlign w:val="bottom"/>
            <w:hideMark/>
          </w:tcPr>
          <w:p w14:paraId="11E72CBB"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5.472</w:t>
            </w:r>
          </w:p>
        </w:tc>
        <w:tc>
          <w:tcPr>
            <w:tcW w:w="1718" w:type="dxa"/>
            <w:tcBorders>
              <w:top w:val="single" w:sz="4" w:space="0" w:color="9BC2E6"/>
              <w:left w:val="nil"/>
              <w:bottom w:val="single" w:sz="4" w:space="0" w:color="9BC2E6"/>
              <w:right w:val="nil"/>
            </w:tcBorders>
            <w:shd w:val="clear" w:color="auto" w:fill="auto"/>
            <w:noWrap/>
            <w:vAlign w:val="bottom"/>
            <w:hideMark/>
          </w:tcPr>
          <w:p w14:paraId="6CABBEE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0.094</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13C85E65"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0.685</w:t>
            </w:r>
          </w:p>
        </w:tc>
      </w:tr>
      <w:tr w:rsidR="00225F94" w:rsidRPr="009F2C9F" w14:paraId="4BAE823C"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2FAB7846"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Manure Management</w:t>
            </w:r>
          </w:p>
        </w:tc>
        <w:tc>
          <w:tcPr>
            <w:tcW w:w="2767" w:type="dxa"/>
            <w:tcBorders>
              <w:top w:val="single" w:sz="4" w:space="0" w:color="9BC2E6"/>
              <w:left w:val="nil"/>
              <w:bottom w:val="single" w:sz="4" w:space="0" w:color="9BC2E6"/>
              <w:right w:val="nil"/>
            </w:tcBorders>
            <w:shd w:val="clear" w:color="DDEBF7" w:fill="DDEBF7"/>
            <w:noWrap/>
            <w:vAlign w:val="bottom"/>
            <w:hideMark/>
          </w:tcPr>
          <w:p w14:paraId="6031EA2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3.558</w:t>
            </w:r>
          </w:p>
        </w:tc>
        <w:tc>
          <w:tcPr>
            <w:tcW w:w="1718" w:type="dxa"/>
            <w:tcBorders>
              <w:top w:val="single" w:sz="4" w:space="0" w:color="9BC2E6"/>
              <w:left w:val="nil"/>
              <w:bottom w:val="single" w:sz="4" w:space="0" w:color="9BC2E6"/>
              <w:right w:val="nil"/>
            </w:tcBorders>
            <w:shd w:val="clear" w:color="DDEBF7" w:fill="DDEBF7"/>
            <w:noWrap/>
            <w:vAlign w:val="bottom"/>
            <w:hideMark/>
          </w:tcPr>
          <w:p w14:paraId="75F1848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0.061</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4D763A7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0.746</w:t>
            </w:r>
          </w:p>
        </w:tc>
      </w:tr>
      <w:tr w:rsidR="00225F94" w:rsidRPr="009F2C9F" w14:paraId="6AC55B8E"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00C713D0"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All Mobile (CH</w:t>
            </w:r>
            <w:r w:rsidRPr="009F2C9F">
              <w:rPr>
                <w:rFonts w:eastAsia="Times New Roman" w:cs="Calibri"/>
                <w:color w:val="auto"/>
                <w:vertAlign w:val="subscript"/>
              </w:rPr>
              <w:t>4</w:t>
            </w:r>
            <w:r w:rsidRPr="009F2C9F">
              <w:rPr>
                <w:rFonts w:eastAsia="Times New Roman" w:cs="Calibri"/>
                <w:color w:val="auto"/>
              </w:rPr>
              <w:t>, N</w:t>
            </w:r>
            <w:r w:rsidRPr="009F2C9F">
              <w:rPr>
                <w:rFonts w:eastAsia="Times New Roman" w:cs="Calibri"/>
                <w:color w:val="auto"/>
                <w:vertAlign w:val="subscript"/>
              </w:rPr>
              <w:t>2</w:t>
            </w:r>
            <w:r w:rsidRPr="009F2C9F">
              <w:rPr>
                <w:rFonts w:eastAsia="Times New Roman" w:cs="Calibri"/>
                <w:color w:val="auto"/>
              </w:rPr>
              <w:t>O)</w:t>
            </w:r>
          </w:p>
        </w:tc>
        <w:tc>
          <w:tcPr>
            <w:tcW w:w="2767" w:type="dxa"/>
            <w:tcBorders>
              <w:top w:val="single" w:sz="4" w:space="0" w:color="9BC2E6"/>
              <w:left w:val="nil"/>
              <w:bottom w:val="single" w:sz="4" w:space="0" w:color="9BC2E6"/>
              <w:right w:val="nil"/>
            </w:tcBorders>
            <w:shd w:val="clear" w:color="auto" w:fill="auto"/>
            <w:noWrap/>
            <w:vAlign w:val="bottom"/>
            <w:hideMark/>
          </w:tcPr>
          <w:p w14:paraId="704FC822"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3.471</w:t>
            </w:r>
          </w:p>
        </w:tc>
        <w:tc>
          <w:tcPr>
            <w:tcW w:w="1718" w:type="dxa"/>
            <w:tcBorders>
              <w:top w:val="single" w:sz="4" w:space="0" w:color="9BC2E6"/>
              <w:left w:val="nil"/>
              <w:bottom w:val="single" w:sz="4" w:space="0" w:color="9BC2E6"/>
              <w:right w:val="nil"/>
            </w:tcBorders>
            <w:shd w:val="clear" w:color="auto" w:fill="auto"/>
            <w:noWrap/>
            <w:vAlign w:val="bottom"/>
            <w:hideMark/>
          </w:tcPr>
          <w:p w14:paraId="3FBDBBA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0.059</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6CD60D33"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0.805</w:t>
            </w:r>
          </w:p>
        </w:tc>
      </w:tr>
      <w:tr w:rsidR="00225F94" w:rsidRPr="009F2C9F" w14:paraId="34013986"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30564482" w14:textId="77777777" w:rsidR="00225F94" w:rsidRPr="009F2C9F" w:rsidRDefault="00225F94" w:rsidP="00225F94">
            <w:pPr>
              <w:spacing w:after="0" w:line="240" w:lineRule="auto"/>
              <w:rPr>
                <w:rFonts w:eastAsia="Times New Roman" w:cs="Calibri"/>
                <w:color w:val="auto"/>
              </w:rPr>
            </w:pPr>
            <w:bookmarkStart w:id="47" w:name="RANGE!A9"/>
            <w:r w:rsidRPr="009F2C9F">
              <w:rPr>
                <w:rFonts w:eastAsia="Times New Roman" w:cs="Calibri"/>
                <w:color w:val="auto"/>
              </w:rPr>
              <w:t>Solid Waste (CH</w:t>
            </w:r>
            <w:r w:rsidRPr="009F2C9F">
              <w:rPr>
                <w:rFonts w:eastAsia="Times New Roman" w:cs="Calibri"/>
                <w:color w:val="auto"/>
                <w:vertAlign w:val="subscript"/>
              </w:rPr>
              <w:t>4</w:t>
            </w:r>
            <w:r w:rsidRPr="009F2C9F">
              <w:rPr>
                <w:rFonts w:eastAsia="Times New Roman" w:cs="Calibri"/>
                <w:color w:val="auto"/>
              </w:rPr>
              <w:t>, N</w:t>
            </w:r>
            <w:r w:rsidRPr="009F2C9F">
              <w:rPr>
                <w:rFonts w:eastAsia="Times New Roman" w:cs="Calibri"/>
                <w:color w:val="auto"/>
                <w:vertAlign w:val="subscript"/>
              </w:rPr>
              <w:t>2</w:t>
            </w:r>
            <w:r w:rsidRPr="009F2C9F">
              <w:rPr>
                <w:rFonts w:eastAsia="Times New Roman" w:cs="Calibri"/>
                <w:color w:val="auto"/>
              </w:rPr>
              <w:t>O)</w:t>
            </w:r>
            <w:bookmarkEnd w:id="47"/>
          </w:p>
        </w:tc>
        <w:tc>
          <w:tcPr>
            <w:tcW w:w="2767" w:type="dxa"/>
            <w:tcBorders>
              <w:top w:val="single" w:sz="4" w:space="0" w:color="9BC2E6"/>
              <w:left w:val="nil"/>
              <w:bottom w:val="single" w:sz="4" w:space="0" w:color="9BC2E6"/>
              <w:right w:val="nil"/>
            </w:tcBorders>
            <w:shd w:val="clear" w:color="DDEBF7" w:fill="DDEBF7"/>
            <w:noWrap/>
            <w:vAlign w:val="bottom"/>
            <w:hideMark/>
          </w:tcPr>
          <w:p w14:paraId="788EF4A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2.666</w:t>
            </w:r>
          </w:p>
        </w:tc>
        <w:tc>
          <w:tcPr>
            <w:tcW w:w="1718" w:type="dxa"/>
            <w:tcBorders>
              <w:top w:val="single" w:sz="4" w:space="0" w:color="9BC2E6"/>
              <w:left w:val="nil"/>
              <w:bottom w:val="single" w:sz="4" w:space="0" w:color="9BC2E6"/>
              <w:right w:val="nil"/>
            </w:tcBorders>
            <w:shd w:val="clear" w:color="DDEBF7" w:fill="DDEBF7"/>
            <w:noWrap/>
            <w:vAlign w:val="bottom"/>
            <w:hideMark/>
          </w:tcPr>
          <w:p w14:paraId="1F4DC607"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0.046</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05B2B61D"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0.851</w:t>
            </w:r>
          </w:p>
        </w:tc>
      </w:tr>
      <w:tr w:rsidR="00225F94" w:rsidRPr="009F2C9F" w14:paraId="3904276A"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2E088BFE"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Enteric Fermentation</w:t>
            </w:r>
          </w:p>
        </w:tc>
        <w:tc>
          <w:tcPr>
            <w:tcW w:w="2767" w:type="dxa"/>
            <w:tcBorders>
              <w:top w:val="single" w:sz="4" w:space="0" w:color="9BC2E6"/>
              <w:left w:val="nil"/>
              <w:bottom w:val="single" w:sz="4" w:space="0" w:color="9BC2E6"/>
              <w:right w:val="nil"/>
            </w:tcBorders>
            <w:shd w:val="clear" w:color="auto" w:fill="auto"/>
            <w:noWrap/>
            <w:vAlign w:val="bottom"/>
            <w:hideMark/>
          </w:tcPr>
          <w:p w14:paraId="18EF5F99"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1.089</w:t>
            </w:r>
          </w:p>
        </w:tc>
        <w:tc>
          <w:tcPr>
            <w:tcW w:w="1718" w:type="dxa"/>
            <w:tcBorders>
              <w:top w:val="single" w:sz="4" w:space="0" w:color="9BC2E6"/>
              <w:left w:val="nil"/>
              <w:bottom w:val="single" w:sz="4" w:space="0" w:color="9BC2E6"/>
              <w:right w:val="nil"/>
            </w:tcBorders>
            <w:shd w:val="clear" w:color="auto" w:fill="auto"/>
            <w:noWrap/>
            <w:vAlign w:val="bottom"/>
            <w:hideMark/>
          </w:tcPr>
          <w:p w14:paraId="32333FA2"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0.019</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731CF587"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0.869</w:t>
            </w:r>
          </w:p>
        </w:tc>
      </w:tr>
      <w:tr w:rsidR="00225F94" w:rsidRPr="009F2C9F" w14:paraId="1BEC2EB6"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6F68F295"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Natural Gas- Electricity Supply &amp; Demand</w:t>
            </w:r>
          </w:p>
        </w:tc>
        <w:tc>
          <w:tcPr>
            <w:tcW w:w="2767" w:type="dxa"/>
            <w:tcBorders>
              <w:top w:val="single" w:sz="4" w:space="0" w:color="9BC2E6"/>
              <w:left w:val="nil"/>
              <w:bottom w:val="single" w:sz="4" w:space="0" w:color="9BC2E6"/>
              <w:right w:val="nil"/>
            </w:tcBorders>
            <w:shd w:val="clear" w:color="DDEBF7" w:fill="DDEBF7"/>
            <w:noWrap/>
            <w:vAlign w:val="bottom"/>
            <w:hideMark/>
          </w:tcPr>
          <w:p w14:paraId="282F3F9B"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0.944</w:t>
            </w:r>
          </w:p>
        </w:tc>
        <w:tc>
          <w:tcPr>
            <w:tcW w:w="1718" w:type="dxa"/>
            <w:tcBorders>
              <w:top w:val="single" w:sz="4" w:space="0" w:color="9BC2E6"/>
              <w:left w:val="nil"/>
              <w:bottom w:val="single" w:sz="4" w:space="0" w:color="9BC2E6"/>
              <w:right w:val="nil"/>
            </w:tcBorders>
            <w:shd w:val="clear" w:color="DDEBF7" w:fill="DDEBF7"/>
            <w:noWrap/>
            <w:vAlign w:val="bottom"/>
            <w:hideMark/>
          </w:tcPr>
          <w:p w14:paraId="37A7F25A"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0.016</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410946C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0.886</w:t>
            </w:r>
          </w:p>
        </w:tc>
      </w:tr>
      <w:tr w:rsidR="00225F94" w:rsidRPr="009F2C9F" w14:paraId="2510F272"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auto" w:fill="auto"/>
            <w:vAlign w:val="bottom"/>
            <w:hideMark/>
          </w:tcPr>
          <w:p w14:paraId="4EC8B25D"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Semiconductor Manufacturing (HFC, PFC &amp; SF</w:t>
            </w:r>
            <w:r w:rsidRPr="009F2C9F">
              <w:rPr>
                <w:rFonts w:eastAsia="Times New Roman" w:cs="Calibri"/>
                <w:color w:val="auto"/>
                <w:vertAlign w:val="subscript"/>
              </w:rPr>
              <w:t>6</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auto" w:fill="auto"/>
            <w:noWrap/>
            <w:vAlign w:val="bottom"/>
            <w:hideMark/>
          </w:tcPr>
          <w:p w14:paraId="046F871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0.719</w:t>
            </w:r>
          </w:p>
        </w:tc>
        <w:tc>
          <w:tcPr>
            <w:tcW w:w="1718" w:type="dxa"/>
            <w:tcBorders>
              <w:top w:val="single" w:sz="4" w:space="0" w:color="9BC2E6"/>
              <w:left w:val="nil"/>
              <w:bottom w:val="single" w:sz="4" w:space="0" w:color="9BC2E6"/>
              <w:right w:val="nil"/>
            </w:tcBorders>
            <w:shd w:val="clear" w:color="auto" w:fill="auto"/>
            <w:noWrap/>
            <w:vAlign w:val="bottom"/>
            <w:hideMark/>
          </w:tcPr>
          <w:p w14:paraId="459EF12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0.012</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7D97011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0.898</w:t>
            </w:r>
          </w:p>
        </w:tc>
      </w:tr>
      <w:tr w:rsidR="00225F94" w:rsidRPr="009F2C9F" w14:paraId="12AADF7D"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1631D044"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Oil, Propane, &amp; Other Petroleum- Residential/ Commercial/ Industrial (RCI) Fuel Use</w:t>
            </w:r>
          </w:p>
        </w:tc>
        <w:tc>
          <w:tcPr>
            <w:tcW w:w="2767" w:type="dxa"/>
            <w:tcBorders>
              <w:top w:val="single" w:sz="4" w:space="0" w:color="9BC2E6"/>
              <w:left w:val="nil"/>
              <w:bottom w:val="single" w:sz="4" w:space="0" w:color="9BC2E6"/>
              <w:right w:val="nil"/>
            </w:tcBorders>
            <w:shd w:val="clear" w:color="DDEBF7" w:fill="DDEBF7"/>
            <w:noWrap/>
            <w:vAlign w:val="bottom"/>
            <w:hideMark/>
          </w:tcPr>
          <w:p w14:paraId="100F73C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0.713</w:t>
            </w:r>
          </w:p>
        </w:tc>
        <w:tc>
          <w:tcPr>
            <w:tcW w:w="1718" w:type="dxa"/>
            <w:tcBorders>
              <w:top w:val="single" w:sz="4" w:space="0" w:color="9BC2E6"/>
              <w:left w:val="nil"/>
              <w:bottom w:val="single" w:sz="4" w:space="0" w:color="9BC2E6"/>
              <w:right w:val="nil"/>
            </w:tcBorders>
            <w:shd w:val="clear" w:color="DDEBF7" w:fill="DDEBF7"/>
            <w:noWrap/>
            <w:vAlign w:val="bottom"/>
            <w:hideMark/>
          </w:tcPr>
          <w:p w14:paraId="3BDA7B0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0.012</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47AEA98A"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0.910</w:t>
            </w:r>
          </w:p>
        </w:tc>
      </w:tr>
      <w:tr w:rsidR="00225F94" w:rsidRPr="009F2C9F" w14:paraId="0DF7285E"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404C7568"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Motor Gasoline (</w:t>
            </w:r>
            <w:proofErr w:type="spellStart"/>
            <w:r w:rsidRPr="009F2C9F">
              <w:rPr>
                <w:rFonts w:eastAsia="Times New Roman" w:cs="Calibri"/>
                <w:color w:val="auto"/>
              </w:rPr>
              <w:t>Onroad</w:t>
            </w:r>
            <w:proofErr w:type="spellEnd"/>
            <w:r w:rsidRPr="009F2C9F">
              <w:rPr>
                <w:rFonts w:eastAsia="Times New Roman" w:cs="Calibri"/>
                <w:color w:val="auto"/>
              </w:rPr>
              <w:t xml:space="preserve"> and Nonroad) (CO</w:t>
            </w:r>
            <w:r w:rsidRPr="009F2C9F">
              <w:rPr>
                <w:rFonts w:eastAsia="Times New Roman" w:cs="Calibri"/>
                <w:color w:val="auto"/>
                <w:vertAlign w:val="subscript"/>
              </w:rPr>
              <w:t>2</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auto" w:fill="auto"/>
            <w:noWrap/>
            <w:vAlign w:val="bottom"/>
            <w:hideMark/>
          </w:tcPr>
          <w:p w14:paraId="5040FD0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0.712</w:t>
            </w:r>
          </w:p>
        </w:tc>
        <w:tc>
          <w:tcPr>
            <w:tcW w:w="1718" w:type="dxa"/>
            <w:tcBorders>
              <w:top w:val="single" w:sz="4" w:space="0" w:color="9BC2E6"/>
              <w:left w:val="nil"/>
              <w:bottom w:val="single" w:sz="4" w:space="0" w:color="9BC2E6"/>
              <w:right w:val="nil"/>
            </w:tcBorders>
            <w:shd w:val="clear" w:color="auto" w:fill="auto"/>
            <w:noWrap/>
            <w:vAlign w:val="bottom"/>
            <w:hideMark/>
          </w:tcPr>
          <w:p w14:paraId="6838FFF7"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0.012</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6DC08690"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0.922</w:t>
            </w:r>
          </w:p>
        </w:tc>
      </w:tr>
      <w:tr w:rsidR="00225F94" w:rsidRPr="009F2C9F" w14:paraId="73ADF198"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5DD460E8"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Electric Utilities (SF</w:t>
            </w:r>
            <w:r w:rsidRPr="009F2C9F">
              <w:rPr>
                <w:rFonts w:eastAsia="Times New Roman" w:cs="Calibri"/>
                <w:color w:val="auto"/>
                <w:vertAlign w:val="subscript"/>
              </w:rPr>
              <w:t>6</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DDEBF7" w:fill="DDEBF7"/>
            <w:noWrap/>
            <w:vAlign w:val="bottom"/>
            <w:hideMark/>
          </w:tcPr>
          <w:p w14:paraId="37969E6A"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0.698</w:t>
            </w:r>
          </w:p>
        </w:tc>
        <w:tc>
          <w:tcPr>
            <w:tcW w:w="1718" w:type="dxa"/>
            <w:tcBorders>
              <w:top w:val="single" w:sz="4" w:space="0" w:color="9BC2E6"/>
              <w:left w:val="nil"/>
              <w:bottom w:val="single" w:sz="4" w:space="0" w:color="9BC2E6"/>
              <w:right w:val="nil"/>
            </w:tcBorders>
            <w:shd w:val="clear" w:color="DDEBF7" w:fill="DDEBF7"/>
            <w:noWrap/>
            <w:vAlign w:val="bottom"/>
            <w:hideMark/>
          </w:tcPr>
          <w:p w14:paraId="28482532"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0.012</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72C7BD16"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0.934</w:t>
            </w:r>
          </w:p>
        </w:tc>
      </w:tr>
      <w:tr w:rsidR="00225F94" w:rsidRPr="009F2C9F" w14:paraId="747BB23E"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731A571E"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Wood (CH</w:t>
            </w:r>
            <w:r w:rsidRPr="009F2C9F">
              <w:rPr>
                <w:rFonts w:eastAsia="Times New Roman" w:cs="Calibri"/>
                <w:color w:val="auto"/>
                <w:vertAlign w:val="subscript"/>
              </w:rPr>
              <w:t>4</w:t>
            </w:r>
            <w:r w:rsidRPr="009F2C9F">
              <w:rPr>
                <w:rFonts w:eastAsia="Times New Roman" w:cs="Calibri"/>
                <w:color w:val="auto"/>
              </w:rPr>
              <w:t>, N</w:t>
            </w:r>
            <w:r w:rsidRPr="009F2C9F">
              <w:rPr>
                <w:rFonts w:eastAsia="Times New Roman" w:cs="Calibri"/>
                <w:color w:val="auto"/>
                <w:vertAlign w:val="subscript"/>
              </w:rPr>
              <w:t>2</w:t>
            </w:r>
            <w:r w:rsidRPr="009F2C9F">
              <w:rPr>
                <w:rFonts w:eastAsia="Times New Roman" w:cs="Calibri"/>
                <w:color w:val="auto"/>
              </w:rPr>
              <w:t>O)- Residential/ Commercial/ Industrial (RCI) Fuel Use</w:t>
            </w:r>
          </w:p>
        </w:tc>
        <w:tc>
          <w:tcPr>
            <w:tcW w:w="2767" w:type="dxa"/>
            <w:tcBorders>
              <w:top w:val="single" w:sz="4" w:space="0" w:color="9BC2E6"/>
              <w:left w:val="nil"/>
              <w:bottom w:val="single" w:sz="4" w:space="0" w:color="9BC2E6"/>
              <w:right w:val="nil"/>
            </w:tcBorders>
            <w:shd w:val="clear" w:color="auto" w:fill="auto"/>
            <w:noWrap/>
            <w:vAlign w:val="bottom"/>
            <w:hideMark/>
          </w:tcPr>
          <w:p w14:paraId="548D0053"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0.676</w:t>
            </w:r>
          </w:p>
        </w:tc>
        <w:tc>
          <w:tcPr>
            <w:tcW w:w="1718" w:type="dxa"/>
            <w:tcBorders>
              <w:top w:val="single" w:sz="4" w:space="0" w:color="9BC2E6"/>
              <w:left w:val="nil"/>
              <w:bottom w:val="single" w:sz="4" w:space="0" w:color="9BC2E6"/>
              <w:right w:val="nil"/>
            </w:tcBorders>
            <w:shd w:val="clear" w:color="auto" w:fill="auto"/>
            <w:noWrap/>
            <w:vAlign w:val="bottom"/>
            <w:hideMark/>
          </w:tcPr>
          <w:p w14:paraId="405255AE"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0.012</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31ADD2C6"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0.946</w:t>
            </w:r>
          </w:p>
        </w:tc>
      </w:tr>
      <w:tr w:rsidR="00225F94" w:rsidRPr="009F2C9F" w14:paraId="7013013E"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4871FD31"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Jet Fuel &amp; Aviation Gasoline (CO</w:t>
            </w:r>
            <w:r w:rsidRPr="009F2C9F">
              <w:rPr>
                <w:rFonts w:eastAsia="Times New Roman" w:cs="Calibri"/>
                <w:color w:val="auto"/>
                <w:vertAlign w:val="subscript"/>
              </w:rPr>
              <w:t>2</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DDEBF7" w:fill="DDEBF7"/>
            <w:noWrap/>
            <w:vAlign w:val="bottom"/>
            <w:hideMark/>
          </w:tcPr>
          <w:p w14:paraId="580B26A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0.632</w:t>
            </w:r>
          </w:p>
        </w:tc>
        <w:tc>
          <w:tcPr>
            <w:tcW w:w="1718" w:type="dxa"/>
            <w:tcBorders>
              <w:top w:val="single" w:sz="4" w:space="0" w:color="9BC2E6"/>
              <w:left w:val="nil"/>
              <w:bottom w:val="single" w:sz="4" w:space="0" w:color="9BC2E6"/>
              <w:right w:val="nil"/>
            </w:tcBorders>
            <w:shd w:val="clear" w:color="DDEBF7" w:fill="DDEBF7"/>
            <w:noWrap/>
            <w:vAlign w:val="bottom"/>
            <w:hideMark/>
          </w:tcPr>
          <w:p w14:paraId="3ED5C28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0.011</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2995BA26"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0.956</w:t>
            </w:r>
          </w:p>
        </w:tc>
      </w:tr>
      <w:tr w:rsidR="00225F94" w:rsidRPr="009F2C9F" w14:paraId="07E0D56D"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2423A5A1"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Limestone &amp; Dolomite Use</w:t>
            </w:r>
          </w:p>
        </w:tc>
        <w:tc>
          <w:tcPr>
            <w:tcW w:w="2767" w:type="dxa"/>
            <w:tcBorders>
              <w:top w:val="single" w:sz="4" w:space="0" w:color="9BC2E6"/>
              <w:left w:val="nil"/>
              <w:bottom w:val="single" w:sz="4" w:space="0" w:color="9BC2E6"/>
              <w:right w:val="nil"/>
            </w:tcBorders>
            <w:shd w:val="clear" w:color="auto" w:fill="auto"/>
            <w:noWrap/>
            <w:vAlign w:val="bottom"/>
            <w:hideMark/>
          </w:tcPr>
          <w:p w14:paraId="0695DFF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0.465</w:t>
            </w:r>
          </w:p>
        </w:tc>
        <w:tc>
          <w:tcPr>
            <w:tcW w:w="1718" w:type="dxa"/>
            <w:tcBorders>
              <w:top w:val="single" w:sz="4" w:space="0" w:color="9BC2E6"/>
              <w:left w:val="nil"/>
              <w:bottom w:val="single" w:sz="4" w:space="0" w:color="9BC2E6"/>
              <w:right w:val="nil"/>
            </w:tcBorders>
            <w:shd w:val="clear" w:color="auto" w:fill="auto"/>
            <w:noWrap/>
            <w:vAlign w:val="bottom"/>
            <w:hideMark/>
          </w:tcPr>
          <w:p w14:paraId="3EBCDAD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0.008</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6E247672"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0.964</w:t>
            </w:r>
          </w:p>
        </w:tc>
      </w:tr>
      <w:tr w:rsidR="00225F94" w:rsidRPr="009F2C9F" w14:paraId="15EE32FC"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57685A30"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Agricultural Soils</w:t>
            </w:r>
          </w:p>
        </w:tc>
        <w:tc>
          <w:tcPr>
            <w:tcW w:w="2767" w:type="dxa"/>
            <w:tcBorders>
              <w:top w:val="single" w:sz="4" w:space="0" w:color="9BC2E6"/>
              <w:left w:val="nil"/>
              <w:bottom w:val="single" w:sz="4" w:space="0" w:color="9BC2E6"/>
              <w:right w:val="nil"/>
            </w:tcBorders>
            <w:shd w:val="clear" w:color="DDEBF7" w:fill="DDEBF7"/>
            <w:noWrap/>
            <w:vAlign w:val="bottom"/>
            <w:hideMark/>
          </w:tcPr>
          <w:p w14:paraId="5958C7FD"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0.447</w:t>
            </w:r>
          </w:p>
        </w:tc>
        <w:tc>
          <w:tcPr>
            <w:tcW w:w="1718" w:type="dxa"/>
            <w:tcBorders>
              <w:top w:val="single" w:sz="4" w:space="0" w:color="9BC2E6"/>
              <w:left w:val="nil"/>
              <w:bottom w:val="single" w:sz="4" w:space="0" w:color="9BC2E6"/>
              <w:right w:val="nil"/>
            </w:tcBorders>
            <w:shd w:val="clear" w:color="DDEBF7" w:fill="DDEBF7"/>
            <w:noWrap/>
            <w:vAlign w:val="bottom"/>
            <w:hideMark/>
          </w:tcPr>
          <w:p w14:paraId="3DFD2BF9"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0.008</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348CBAF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0.972</w:t>
            </w:r>
          </w:p>
        </w:tc>
      </w:tr>
      <w:tr w:rsidR="00225F94" w:rsidRPr="009F2C9F" w14:paraId="6F677D0E"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6E26B46D"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Coal- Residential/ Commercial/ Industrial (RCI) Fuel Use</w:t>
            </w:r>
          </w:p>
        </w:tc>
        <w:tc>
          <w:tcPr>
            <w:tcW w:w="2767" w:type="dxa"/>
            <w:tcBorders>
              <w:top w:val="single" w:sz="4" w:space="0" w:color="9BC2E6"/>
              <w:left w:val="nil"/>
              <w:bottom w:val="single" w:sz="4" w:space="0" w:color="9BC2E6"/>
              <w:right w:val="nil"/>
            </w:tcBorders>
            <w:shd w:val="clear" w:color="auto" w:fill="auto"/>
            <w:noWrap/>
            <w:vAlign w:val="bottom"/>
            <w:hideMark/>
          </w:tcPr>
          <w:p w14:paraId="5DE4B35B"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0.428</w:t>
            </w:r>
          </w:p>
        </w:tc>
        <w:tc>
          <w:tcPr>
            <w:tcW w:w="1718" w:type="dxa"/>
            <w:tcBorders>
              <w:top w:val="single" w:sz="4" w:space="0" w:color="9BC2E6"/>
              <w:left w:val="nil"/>
              <w:bottom w:val="single" w:sz="4" w:space="0" w:color="9BC2E6"/>
              <w:right w:val="nil"/>
            </w:tcBorders>
            <w:shd w:val="clear" w:color="auto" w:fill="auto"/>
            <w:noWrap/>
            <w:vAlign w:val="bottom"/>
            <w:hideMark/>
          </w:tcPr>
          <w:p w14:paraId="29C18A5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0.007</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00E5151C"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0.979</w:t>
            </w:r>
          </w:p>
        </w:tc>
      </w:tr>
      <w:tr w:rsidR="00225F94" w:rsidRPr="009F2C9F" w14:paraId="68F6B9C7"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70357087"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Oil- Electricity Supply &amp; Demand</w:t>
            </w:r>
          </w:p>
        </w:tc>
        <w:tc>
          <w:tcPr>
            <w:tcW w:w="2767" w:type="dxa"/>
            <w:tcBorders>
              <w:top w:val="single" w:sz="4" w:space="0" w:color="9BC2E6"/>
              <w:left w:val="nil"/>
              <w:bottom w:val="single" w:sz="4" w:space="0" w:color="9BC2E6"/>
              <w:right w:val="nil"/>
            </w:tcBorders>
            <w:shd w:val="clear" w:color="DDEBF7" w:fill="DDEBF7"/>
            <w:noWrap/>
            <w:vAlign w:val="bottom"/>
            <w:hideMark/>
          </w:tcPr>
          <w:p w14:paraId="4D2AECBE"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0.286</w:t>
            </w:r>
          </w:p>
        </w:tc>
        <w:tc>
          <w:tcPr>
            <w:tcW w:w="1718" w:type="dxa"/>
            <w:tcBorders>
              <w:top w:val="single" w:sz="4" w:space="0" w:color="9BC2E6"/>
              <w:left w:val="nil"/>
              <w:bottom w:val="single" w:sz="4" w:space="0" w:color="9BC2E6"/>
              <w:right w:val="nil"/>
            </w:tcBorders>
            <w:shd w:val="clear" w:color="DDEBF7" w:fill="DDEBF7"/>
            <w:noWrap/>
            <w:vAlign w:val="bottom"/>
            <w:hideMark/>
          </w:tcPr>
          <w:p w14:paraId="02C91F0D"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0.005</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78B8EA05"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0.984</w:t>
            </w:r>
          </w:p>
        </w:tc>
      </w:tr>
      <w:tr w:rsidR="00225F94" w:rsidRPr="009F2C9F" w14:paraId="3BA0C635" w14:textId="77777777" w:rsidTr="008F7BF8">
        <w:trPr>
          <w:trHeight w:val="396"/>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5C41F0B7"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Natural Gas Transmission</w:t>
            </w:r>
          </w:p>
        </w:tc>
        <w:tc>
          <w:tcPr>
            <w:tcW w:w="2767" w:type="dxa"/>
            <w:tcBorders>
              <w:top w:val="single" w:sz="4" w:space="0" w:color="9BC2E6"/>
              <w:left w:val="nil"/>
              <w:bottom w:val="single" w:sz="4" w:space="0" w:color="9BC2E6"/>
              <w:right w:val="nil"/>
            </w:tcBorders>
            <w:shd w:val="clear" w:color="auto" w:fill="auto"/>
            <w:noWrap/>
            <w:vAlign w:val="bottom"/>
            <w:hideMark/>
          </w:tcPr>
          <w:p w14:paraId="68BC8C1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0.245</w:t>
            </w:r>
          </w:p>
        </w:tc>
        <w:tc>
          <w:tcPr>
            <w:tcW w:w="1718" w:type="dxa"/>
            <w:tcBorders>
              <w:top w:val="single" w:sz="4" w:space="0" w:color="9BC2E6"/>
              <w:left w:val="nil"/>
              <w:bottom w:val="single" w:sz="4" w:space="0" w:color="9BC2E6"/>
              <w:right w:val="nil"/>
            </w:tcBorders>
            <w:shd w:val="clear" w:color="auto" w:fill="auto"/>
            <w:noWrap/>
            <w:vAlign w:val="bottom"/>
            <w:hideMark/>
          </w:tcPr>
          <w:p w14:paraId="245873D4"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0.004</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70605B70"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0.988</w:t>
            </w:r>
          </w:p>
        </w:tc>
      </w:tr>
      <w:tr w:rsidR="00225F94" w:rsidRPr="009F2C9F" w14:paraId="19226C89"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21E0B619"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Wood (CH</w:t>
            </w:r>
            <w:r w:rsidRPr="009F2C9F">
              <w:rPr>
                <w:rFonts w:eastAsia="Times New Roman" w:cs="Calibri"/>
                <w:color w:val="auto"/>
                <w:vertAlign w:val="subscript"/>
              </w:rPr>
              <w:t>4</w:t>
            </w:r>
            <w:r w:rsidRPr="009F2C9F">
              <w:rPr>
                <w:rFonts w:eastAsia="Times New Roman" w:cs="Calibri"/>
                <w:color w:val="auto"/>
              </w:rPr>
              <w:t>, N</w:t>
            </w:r>
            <w:r w:rsidRPr="009F2C9F">
              <w:rPr>
                <w:rFonts w:eastAsia="Times New Roman" w:cs="Calibri"/>
                <w:color w:val="auto"/>
                <w:vertAlign w:val="subscript"/>
              </w:rPr>
              <w:t>2</w:t>
            </w:r>
            <w:r w:rsidRPr="009F2C9F">
              <w:rPr>
                <w:rFonts w:eastAsia="Times New Roman" w:cs="Calibri"/>
                <w:color w:val="auto"/>
              </w:rPr>
              <w:t>O)- Electricity Supply &amp; Demand</w:t>
            </w:r>
          </w:p>
        </w:tc>
        <w:tc>
          <w:tcPr>
            <w:tcW w:w="2767" w:type="dxa"/>
            <w:tcBorders>
              <w:top w:val="single" w:sz="4" w:space="0" w:color="9BC2E6"/>
              <w:left w:val="nil"/>
              <w:bottom w:val="single" w:sz="4" w:space="0" w:color="9BC2E6"/>
              <w:right w:val="nil"/>
            </w:tcBorders>
            <w:shd w:val="clear" w:color="DDEBF7" w:fill="DDEBF7"/>
            <w:noWrap/>
            <w:vAlign w:val="bottom"/>
            <w:hideMark/>
          </w:tcPr>
          <w:p w14:paraId="44B6A490"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0.192</w:t>
            </w:r>
          </w:p>
        </w:tc>
        <w:tc>
          <w:tcPr>
            <w:tcW w:w="1718" w:type="dxa"/>
            <w:tcBorders>
              <w:top w:val="single" w:sz="4" w:space="0" w:color="9BC2E6"/>
              <w:left w:val="nil"/>
              <w:bottom w:val="single" w:sz="4" w:space="0" w:color="9BC2E6"/>
              <w:right w:val="nil"/>
            </w:tcBorders>
            <w:shd w:val="clear" w:color="DDEBF7" w:fill="DDEBF7"/>
            <w:noWrap/>
            <w:vAlign w:val="bottom"/>
            <w:hideMark/>
          </w:tcPr>
          <w:p w14:paraId="2DD40D1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0.003</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3B0710F5"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0.992</w:t>
            </w:r>
          </w:p>
        </w:tc>
      </w:tr>
      <w:tr w:rsidR="00225F94" w:rsidRPr="009F2C9F" w14:paraId="2A6F0261"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58AA7BF7"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Wastewater</w:t>
            </w:r>
          </w:p>
        </w:tc>
        <w:tc>
          <w:tcPr>
            <w:tcW w:w="2767" w:type="dxa"/>
            <w:tcBorders>
              <w:top w:val="single" w:sz="4" w:space="0" w:color="9BC2E6"/>
              <w:left w:val="nil"/>
              <w:bottom w:val="single" w:sz="4" w:space="0" w:color="9BC2E6"/>
              <w:right w:val="nil"/>
            </w:tcBorders>
            <w:shd w:val="clear" w:color="auto" w:fill="auto"/>
            <w:noWrap/>
            <w:vAlign w:val="bottom"/>
            <w:hideMark/>
          </w:tcPr>
          <w:p w14:paraId="1F62956A"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0.179</w:t>
            </w:r>
          </w:p>
        </w:tc>
        <w:tc>
          <w:tcPr>
            <w:tcW w:w="1718" w:type="dxa"/>
            <w:tcBorders>
              <w:top w:val="single" w:sz="4" w:space="0" w:color="9BC2E6"/>
              <w:left w:val="nil"/>
              <w:bottom w:val="single" w:sz="4" w:space="0" w:color="9BC2E6"/>
              <w:right w:val="nil"/>
            </w:tcBorders>
            <w:shd w:val="clear" w:color="auto" w:fill="auto"/>
            <w:noWrap/>
            <w:vAlign w:val="bottom"/>
            <w:hideMark/>
          </w:tcPr>
          <w:p w14:paraId="240ABF74"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0.003</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4B5F849B"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0.995</w:t>
            </w:r>
          </w:p>
        </w:tc>
      </w:tr>
      <w:tr w:rsidR="00225F94" w:rsidRPr="009F2C9F" w14:paraId="19344864"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7FBB156E"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Non-Energy Consumption - Lubricants (CO</w:t>
            </w:r>
            <w:r w:rsidRPr="009F2C9F">
              <w:rPr>
                <w:rFonts w:eastAsia="Times New Roman" w:cs="Calibri"/>
                <w:color w:val="auto"/>
                <w:vertAlign w:val="subscript"/>
              </w:rPr>
              <w:t>2</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DDEBF7" w:fill="DDEBF7"/>
            <w:noWrap/>
            <w:vAlign w:val="bottom"/>
            <w:hideMark/>
          </w:tcPr>
          <w:p w14:paraId="4732272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0.117</w:t>
            </w:r>
          </w:p>
        </w:tc>
        <w:tc>
          <w:tcPr>
            <w:tcW w:w="1718" w:type="dxa"/>
            <w:tcBorders>
              <w:top w:val="single" w:sz="4" w:space="0" w:color="9BC2E6"/>
              <w:left w:val="nil"/>
              <w:bottom w:val="single" w:sz="4" w:space="0" w:color="9BC2E6"/>
              <w:right w:val="nil"/>
            </w:tcBorders>
            <w:shd w:val="clear" w:color="DDEBF7" w:fill="DDEBF7"/>
            <w:noWrap/>
            <w:vAlign w:val="bottom"/>
            <w:hideMark/>
          </w:tcPr>
          <w:p w14:paraId="6A13F4BA"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0.002</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1AA07850"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0.997</w:t>
            </w:r>
          </w:p>
        </w:tc>
      </w:tr>
      <w:tr w:rsidR="00225F94" w:rsidRPr="009F2C9F" w14:paraId="5F07EEF3" w14:textId="77777777" w:rsidTr="008F7BF8">
        <w:trPr>
          <w:trHeight w:val="312"/>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05C9E811"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lastRenderedPageBreak/>
              <w:t>Hydrocarbon Gas Liquids, Residual Fuel, Natural Gas (CO</w:t>
            </w:r>
            <w:r w:rsidRPr="009F2C9F">
              <w:rPr>
                <w:rFonts w:eastAsia="Times New Roman" w:cs="Calibri"/>
                <w:color w:val="auto"/>
                <w:vertAlign w:val="subscript"/>
              </w:rPr>
              <w:t>2</w:t>
            </w:r>
            <w:r w:rsidRPr="009F2C9F">
              <w:rPr>
                <w:rFonts w:eastAsia="Times New Roman" w:cs="Calibri"/>
                <w:color w:val="auto"/>
              </w:rPr>
              <w:t>)</w:t>
            </w:r>
          </w:p>
        </w:tc>
        <w:tc>
          <w:tcPr>
            <w:tcW w:w="2767" w:type="dxa"/>
            <w:tcBorders>
              <w:top w:val="single" w:sz="4" w:space="0" w:color="9BC2E6"/>
              <w:left w:val="nil"/>
              <w:bottom w:val="single" w:sz="4" w:space="0" w:color="9BC2E6"/>
              <w:right w:val="nil"/>
            </w:tcBorders>
            <w:shd w:val="clear" w:color="auto" w:fill="auto"/>
            <w:noWrap/>
            <w:vAlign w:val="bottom"/>
            <w:hideMark/>
          </w:tcPr>
          <w:p w14:paraId="2DD88F72"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0.052</w:t>
            </w:r>
          </w:p>
        </w:tc>
        <w:tc>
          <w:tcPr>
            <w:tcW w:w="1718" w:type="dxa"/>
            <w:tcBorders>
              <w:top w:val="single" w:sz="4" w:space="0" w:color="9BC2E6"/>
              <w:left w:val="nil"/>
              <w:bottom w:val="single" w:sz="4" w:space="0" w:color="9BC2E6"/>
              <w:right w:val="nil"/>
            </w:tcBorders>
            <w:shd w:val="clear" w:color="auto" w:fill="auto"/>
            <w:noWrap/>
            <w:vAlign w:val="bottom"/>
            <w:hideMark/>
          </w:tcPr>
          <w:p w14:paraId="6803D5E3"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0.001</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76315E9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0.998</w:t>
            </w:r>
          </w:p>
        </w:tc>
      </w:tr>
      <w:tr w:rsidR="00225F94" w:rsidRPr="009F2C9F" w14:paraId="3D79576D"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4E66BD6A"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Natural Gas Distribution</w:t>
            </w:r>
          </w:p>
        </w:tc>
        <w:tc>
          <w:tcPr>
            <w:tcW w:w="2767" w:type="dxa"/>
            <w:tcBorders>
              <w:top w:val="single" w:sz="4" w:space="0" w:color="9BC2E6"/>
              <w:left w:val="nil"/>
              <w:bottom w:val="single" w:sz="4" w:space="0" w:color="9BC2E6"/>
              <w:right w:val="nil"/>
            </w:tcBorders>
            <w:shd w:val="clear" w:color="DDEBF7" w:fill="DDEBF7"/>
            <w:noWrap/>
            <w:vAlign w:val="bottom"/>
            <w:hideMark/>
          </w:tcPr>
          <w:p w14:paraId="567D5CE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0.050</w:t>
            </w:r>
          </w:p>
        </w:tc>
        <w:tc>
          <w:tcPr>
            <w:tcW w:w="1718" w:type="dxa"/>
            <w:tcBorders>
              <w:top w:val="single" w:sz="4" w:space="0" w:color="9BC2E6"/>
              <w:left w:val="nil"/>
              <w:bottom w:val="single" w:sz="4" w:space="0" w:color="9BC2E6"/>
              <w:right w:val="nil"/>
            </w:tcBorders>
            <w:shd w:val="clear" w:color="DDEBF7" w:fill="DDEBF7"/>
            <w:noWrap/>
            <w:vAlign w:val="bottom"/>
            <w:hideMark/>
          </w:tcPr>
          <w:p w14:paraId="2261079F"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0.001</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7F6E171B"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0.999</w:t>
            </w:r>
          </w:p>
        </w:tc>
      </w:tr>
      <w:tr w:rsidR="00225F94" w:rsidRPr="009F2C9F" w14:paraId="4587D565"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731BCABC"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Soda Ash Use</w:t>
            </w:r>
          </w:p>
        </w:tc>
        <w:tc>
          <w:tcPr>
            <w:tcW w:w="2767" w:type="dxa"/>
            <w:tcBorders>
              <w:top w:val="single" w:sz="4" w:space="0" w:color="9BC2E6"/>
              <w:left w:val="nil"/>
              <w:bottom w:val="single" w:sz="4" w:space="0" w:color="9BC2E6"/>
              <w:right w:val="nil"/>
            </w:tcBorders>
            <w:shd w:val="clear" w:color="auto" w:fill="auto"/>
            <w:noWrap/>
            <w:vAlign w:val="bottom"/>
            <w:hideMark/>
          </w:tcPr>
          <w:p w14:paraId="0C3D7BD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0.046</w:t>
            </w:r>
          </w:p>
        </w:tc>
        <w:tc>
          <w:tcPr>
            <w:tcW w:w="1718" w:type="dxa"/>
            <w:tcBorders>
              <w:top w:val="single" w:sz="4" w:space="0" w:color="9BC2E6"/>
              <w:left w:val="nil"/>
              <w:bottom w:val="single" w:sz="4" w:space="0" w:color="9BC2E6"/>
              <w:right w:val="nil"/>
            </w:tcBorders>
            <w:shd w:val="clear" w:color="auto" w:fill="auto"/>
            <w:noWrap/>
            <w:vAlign w:val="bottom"/>
            <w:hideMark/>
          </w:tcPr>
          <w:p w14:paraId="2DC4D686"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0.001</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7366B056"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0.999</w:t>
            </w:r>
          </w:p>
        </w:tc>
      </w:tr>
      <w:tr w:rsidR="00225F94" w:rsidRPr="009F2C9F" w14:paraId="05E2107C"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DDEBF7" w:fill="DDEBF7"/>
            <w:noWrap/>
            <w:vAlign w:val="bottom"/>
            <w:hideMark/>
          </w:tcPr>
          <w:p w14:paraId="07124ACD"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Urea Consumption</w:t>
            </w:r>
          </w:p>
        </w:tc>
        <w:tc>
          <w:tcPr>
            <w:tcW w:w="2767" w:type="dxa"/>
            <w:tcBorders>
              <w:top w:val="single" w:sz="4" w:space="0" w:color="9BC2E6"/>
              <w:left w:val="nil"/>
              <w:bottom w:val="single" w:sz="4" w:space="0" w:color="9BC2E6"/>
              <w:right w:val="nil"/>
            </w:tcBorders>
            <w:shd w:val="clear" w:color="DDEBF7" w:fill="DDEBF7"/>
            <w:noWrap/>
            <w:vAlign w:val="bottom"/>
            <w:hideMark/>
          </w:tcPr>
          <w:p w14:paraId="63CC5C68"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0.041</w:t>
            </w:r>
          </w:p>
        </w:tc>
        <w:tc>
          <w:tcPr>
            <w:tcW w:w="1718" w:type="dxa"/>
            <w:tcBorders>
              <w:top w:val="single" w:sz="4" w:space="0" w:color="9BC2E6"/>
              <w:left w:val="nil"/>
              <w:bottom w:val="single" w:sz="4" w:space="0" w:color="9BC2E6"/>
              <w:right w:val="nil"/>
            </w:tcBorders>
            <w:shd w:val="clear" w:color="DDEBF7" w:fill="DDEBF7"/>
            <w:noWrap/>
            <w:vAlign w:val="bottom"/>
            <w:hideMark/>
          </w:tcPr>
          <w:p w14:paraId="3201FBFE"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0.001</w:t>
            </w:r>
          </w:p>
        </w:tc>
        <w:tc>
          <w:tcPr>
            <w:tcW w:w="2646" w:type="dxa"/>
            <w:tcBorders>
              <w:top w:val="single" w:sz="4" w:space="0" w:color="9BC2E6"/>
              <w:left w:val="nil"/>
              <w:bottom w:val="single" w:sz="4" w:space="0" w:color="9BC2E6"/>
              <w:right w:val="single" w:sz="4" w:space="0" w:color="9BC2E6"/>
            </w:tcBorders>
            <w:shd w:val="clear" w:color="DDEBF7" w:fill="DDEBF7"/>
            <w:noWrap/>
            <w:vAlign w:val="bottom"/>
            <w:hideMark/>
          </w:tcPr>
          <w:p w14:paraId="112CFC91"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1.000</w:t>
            </w:r>
          </w:p>
        </w:tc>
      </w:tr>
      <w:tr w:rsidR="00225F94" w:rsidRPr="009F2C9F" w14:paraId="77D1113A" w14:textId="77777777" w:rsidTr="008F7BF8">
        <w:trPr>
          <w:trHeight w:val="288"/>
        </w:trPr>
        <w:tc>
          <w:tcPr>
            <w:tcW w:w="4087" w:type="dxa"/>
            <w:tcBorders>
              <w:top w:val="single" w:sz="4" w:space="0" w:color="9BC2E6"/>
              <w:left w:val="single" w:sz="4" w:space="0" w:color="9BC2E6"/>
              <w:bottom w:val="single" w:sz="4" w:space="0" w:color="9BC2E6"/>
              <w:right w:val="nil"/>
            </w:tcBorders>
            <w:shd w:val="clear" w:color="auto" w:fill="auto"/>
            <w:noWrap/>
            <w:vAlign w:val="bottom"/>
            <w:hideMark/>
          </w:tcPr>
          <w:p w14:paraId="4C9F154D" w14:textId="77777777" w:rsidR="00225F94" w:rsidRPr="009F2C9F" w:rsidRDefault="00225F94" w:rsidP="00225F94">
            <w:pPr>
              <w:spacing w:after="0" w:line="240" w:lineRule="auto"/>
              <w:rPr>
                <w:rFonts w:eastAsia="Times New Roman" w:cs="Calibri"/>
                <w:color w:val="auto"/>
              </w:rPr>
            </w:pPr>
            <w:r w:rsidRPr="009F2C9F">
              <w:rPr>
                <w:rFonts w:eastAsia="Times New Roman" w:cs="Calibri"/>
                <w:color w:val="auto"/>
              </w:rPr>
              <w:t>Coal- Electricity Supply &amp; Demand</w:t>
            </w:r>
          </w:p>
        </w:tc>
        <w:tc>
          <w:tcPr>
            <w:tcW w:w="2767" w:type="dxa"/>
            <w:tcBorders>
              <w:top w:val="single" w:sz="4" w:space="0" w:color="9BC2E6"/>
              <w:left w:val="nil"/>
              <w:bottom w:val="single" w:sz="4" w:space="0" w:color="9BC2E6"/>
              <w:right w:val="nil"/>
            </w:tcBorders>
            <w:shd w:val="clear" w:color="auto" w:fill="auto"/>
            <w:noWrap/>
            <w:vAlign w:val="bottom"/>
            <w:hideMark/>
          </w:tcPr>
          <w:p w14:paraId="0E0103EA"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0.000</w:t>
            </w:r>
          </w:p>
        </w:tc>
        <w:tc>
          <w:tcPr>
            <w:tcW w:w="1718" w:type="dxa"/>
            <w:tcBorders>
              <w:top w:val="single" w:sz="4" w:space="0" w:color="9BC2E6"/>
              <w:left w:val="nil"/>
              <w:bottom w:val="single" w:sz="4" w:space="0" w:color="9BC2E6"/>
              <w:right w:val="nil"/>
            </w:tcBorders>
            <w:shd w:val="clear" w:color="auto" w:fill="auto"/>
            <w:noWrap/>
            <w:vAlign w:val="bottom"/>
            <w:hideMark/>
          </w:tcPr>
          <w:p w14:paraId="57FFF2C9"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0</w:t>
            </w:r>
          </w:p>
        </w:tc>
        <w:tc>
          <w:tcPr>
            <w:tcW w:w="2646" w:type="dxa"/>
            <w:tcBorders>
              <w:top w:val="single" w:sz="4" w:space="0" w:color="9BC2E6"/>
              <w:left w:val="nil"/>
              <w:bottom w:val="single" w:sz="4" w:space="0" w:color="9BC2E6"/>
              <w:right w:val="single" w:sz="4" w:space="0" w:color="9BC2E6"/>
            </w:tcBorders>
            <w:shd w:val="clear" w:color="auto" w:fill="auto"/>
            <w:noWrap/>
            <w:vAlign w:val="bottom"/>
            <w:hideMark/>
          </w:tcPr>
          <w:p w14:paraId="1111ED80" w14:textId="77777777" w:rsidR="00225F94" w:rsidRPr="009F2C9F" w:rsidRDefault="00225F94" w:rsidP="00225F94">
            <w:pPr>
              <w:spacing w:after="0" w:line="240" w:lineRule="auto"/>
              <w:jc w:val="right"/>
              <w:rPr>
                <w:rFonts w:eastAsia="Times New Roman" w:cs="Calibri"/>
                <w:color w:val="auto"/>
              </w:rPr>
            </w:pPr>
            <w:r w:rsidRPr="009F2C9F">
              <w:rPr>
                <w:rFonts w:eastAsia="Times New Roman" w:cs="Calibri"/>
                <w:color w:val="auto"/>
              </w:rPr>
              <w:t>1.000</w:t>
            </w:r>
          </w:p>
        </w:tc>
      </w:tr>
    </w:tbl>
    <w:p w14:paraId="455A34C0" w14:textId="77777777" w:rsidR="00EF5CFE" w:rsidRDefault="00EF5CFE" w:rsidP="00EF5CFE"/>
    <w:p w14:paraId="5D8995D3" w14:textId="77777777" w:rsidR="00A335CB" w:rsidRDefault="00A335CB" w:rsidP="00EF5CFE">
      <w:pPr>
        <w:rPr>
          <w:noProof/>
        </w:rPr>
      </w:pPr>
    </w:p>
    <w:p w14:paraId="6A2C007F" w14:textId="77777777" w:rsidR="008661F5" w:rsidRDefault="008661F5">
      <w:pPr>
        <w:spacing w:after="160" w:line="259" w:lineRule="auto"/>
        <w:rPr>
          <w:rFonts w:asciiTheme="majorHAnsi" w:eastAsiaTheme="majorEastAsia" w:hAnsiTheme="majorHAnsi" w:cstheme="majorBidi"/>
          <w:noProof/>
          <w:color w:val="003F5F" w:themeColor="text2"/>
          <w:sz w:val="28"/>
          <w:szCs w:val="26"/>
        </w:rPr>
      </w:pPr>
      <w:r>
        <w:rPr>
          <w:noProof/>
        </w:rPr>
        <w:br w:type="page"/>
      </w:r>
    </w:p>
    <w:p w14:paraId="4811EF6A" w14:textId="4BAA755A" w:rsidR="00A335CB" w:rsidRPr="006928CC" w:rsidRDefault="00A335CB" w:rsidP="00CC40C2">
      <w:pPr>
        <w:pStyle w:val="Heading2"/>
        <w:numPr>
          <w:ilvl w:val="0"/>
          <w:numId w:val="42"/>
        </w:numPr>
      </w:pPr>
      <w:bookmarkStart w:id="48" w:name="_Toc78869969"/>
      <w:r w:rsidRPr="006928CC">
        <w:lastRenderedPageBreak/>
        <w:t xml:space="preserve">Select Material from IPCC 2019 </w:t>
      </w:r>
      <w:r w:rsidR="00450952" w:rsidRPr="006928CC">
        <w:t>Refinement</w:t>
      </w:r>
      <w:bookmarkEnd w:id="48"/>
    </w:p>
    <w:p w14:paraId="5D812EFB" w14:textId="5AC3EB7C" w:rsidR="00EF5CFE" w:rsidRDefault="00EF5CFE" w:rsidP="00EF5CFE">
      <w:r w:rsidRPr="001C0EFF">
        <w:rPr>
          <w:noProof/>
        </w:rPr>
        <w:drawing>
          <wp:inline distT="0" distB="0" distL="0" distR="0" wp14:anchorId="0B790F46" wp14:editId="5C62AA82">
            <wp:extent cx="4764781" cy="5730240"/>
            <wp:effectExtent l="0" t="0" r="0" b="3810"/>
            <wp:docPr id="2818" name="Picture 281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8" name="Picture 2818" descr="Diagram&#10;&#10;Description automatically generated"/>
                    <pic:cNvPicPr/>
                  </pic:nvPicPr>
                  <pic:blipFill>
                    <a:blip r:embed="rId16"/>
                    <a:stretch>
                      <a:fillRect/>
                    </a:stretch>
                  </pic:blipFill>
                  <pic:spPr>
                    <a:xfrm>
                      <a:off x="0" y="0"/>
                      <a:ext cx="4770846" cy="5737534"/>
                    </a:xfrm>
                    <a:prstGeom prst="rect">
                      <a:avLst/>
                    </a:prstGeom>
                  </pic:spPr>
                </pic:pic>
              </a:graphicData>
            </a:graphic>
          </wp:inline>
        </w:drawing>
      </w:r>
    </w:p>
    <w:p w14:paraId="3FF44513" w14:textId="77777777" w:rsidR="00EF5CFE" w:rsidRPr="000613F5" w:rsidRDefault="00EF5CFE" w:rsidP="00EF5CFE"/>
    <w:p w14:paraId="4D8E1B7D" w14:textId="7BA22AE7" w:rsidR="00EF5CFE" w:rsidRPr="0012498A" w:rsidRDefault="00EF5CFE" w:rsidP="00EF5CFE">
      <w:r w:rsidRPr="002D20E2">
        <w:t xml:space="preserve"> (Chapter 2) </w:t>
      </w:r>
    </w:p>
    <w:p w14:paraId="5FC15DCE" w14:textId="77777777" w:rsidR="00EF5CFE" w:rsidRPr="0012498A" w:rsidRDefault="00EF5CFE" w:rsidP="00EF5CFE">
      <w:r w:rsidRPr="0012498A">
        <w:rPr>
          <w:i/>
          <w:iCs/>
        </w:rPr>
        <w:t>Uncertainty analysis</w:t>
      </w:r>
      <w:r w:rsidRPr="0012498A">
        <w:t xml:space="preserve">: The </w:t>
      </w:r>
      <w:r w:rsidRPr="0012498A">
        <w:rPr>
          <w:i/>
          <w:iCs/>
        </w:rPr>
        <w:t xml:space="preserve">2019 Refinement </w:t>
      </w:r>
      <w:r w:rsidRPr="0012498A">
        <w:t xml:space="preserve">provides an update on uncertainties associated with activity data. It also incorporates guidance on how to derive uncertainty estimates from activity data generated based on random samples. This elaborated guidance has useful applications particularly in the AFOLU sector in dealing with uncertainty estimates from land use surveys or forest cover surveys. </w:t>
      </w:r>
    </w:p>
    <w:p w14:paraId="1838880C" w14:textId="77777777" w:rsidR="00EF5CFE" w:rsidRPr="001871A7" w:rsidRDefault="00EF5CFE" w:rsidP="00EF5CFE">
      <w:r w:rsidRPr="001871A7">
        <w:rPr>
          <w:i/>
          <w:iCs/>
        </w:rPr>
        <w:lastRenderedPageBreak/>
        <w:t>Key category analysis</w:t>
      </w:r>
      <w:r w:rsidRPr="001871A7">
        <w:t xml:space="preserve">: No major modifications with respect to the </w:t>
      </w:r>
      <w:r w:rsidRPr="001871A7">
        <w:rPr>
          <w:i/>
          <w:iCs/>
        </w:rPr>
        <w:t xml:space="preserve">2006 IPCC Guidelines </w:t>
      </w:r>
      <w:r w:rsidRPr="001871A7">
        <w:t xml:space="preserve">have occurred but a simplification of the equation to perform key category analysis using trend assessment (Approach 1) has been implemented in the </w:t>
      </w:r>
      <w:r w:rsidRPr="001871A7">
        <w:rPr>
          <w:i/>
          <w:iCs/>
        </w:rPr>
        <w:t>2019 Refinement</w:t>
      </w:r>
      <w:r w:rsidRPr="001871A7">
        <w:t xml:space="preserve">. </w:t>
      </w:r>
    </w:p>
    <w:p w14:paraId="4BC7F087" w14:textId="44FFC76E" w:rsidR="00EF5CFE" w:rsidRDefault="00EF5CFE" w:rsidP="00EF5CFE">
      <w:r w:rsidRPr="00891530">
        <w:rPr>
          <w:i/>
          <w:iCs/>
        </w:rPr>
        <w:t>National GHG inventory coverage</w:t>
      </w:r>
      <w:r w:rsidRPr="00891530">
        <w:t xml:space="preserve">: The </w:t>
      </w:r>
      <w:r w:rsidRPr="00891530">
        <w:rPr>
          <w:i/>
          <w:iCs/>
        </w:rPr>
        <w:t xml:space="preserve">2019 Refinement </w:t>
      </w:r>
      <w:r w:rsidRPr="00891530">
        <w:t xml:space="preserve">provides updated guidance on specific issues to be </w:t>
      </w:r>
      <w:proofErr w:type="gramStart"/>
      <w:r w:rsidRPr="00891530">
        <w:t>taken into account</w:t>
      </w:r>
      <w:proofErr w:type="gramEnd"/>
      <w:r w:rsidRPr="00891530">
        <w:t xml:space="preserve"> in national GHG inventories. The guidance now includes reporting of non-CO2 emissions from the biochar production and CO</w:t>
      </w:r>
      <w:r w:rsidRPr="008377CD">
        <w:rPr>
          <w:vertAlign w:val="subscript"/>
        </w:rPr>
        <w:t>2</w:t>
      </w:r>
      <w:r w:rsidRPr="00891530">
        <w:t xml:space="preserve"> and CH</w:t>
      </w:r>
      <w:r w:rsidRPr="008377CD">
        <w:rPr>
          <w:vertAlign w:val="subscript"/>
        </w:rPr>
        <w:t>4</w:t>
      </w:r>
      <w:r w:rsidRPr="00891530">
        <w:t xml:space="preserve"> emissions from flooded land. </w:t>
      </w:r>
      <w:r>
        <w:t xml:space="preserve"> </w:t>
      </w:r>
    </w:p>
    <w:p w14:paraId="50633F69" w14:textId="77777777" w:rsidR="00EF5CFE" w:rsidRDefault="00EF5CFE" w:rsidP="00EF5CFE">
      <w:r>
        <w:t xml:space="preserve">Vol 2 Refinements: All methodological updates in the 2019 Refinement are in the fugitive emissions category. </w:t>
      </w:r>
    </w:p>
    <w:p w14:paraId="0A848D38" w14:textId="24E3DCA4" w:rsidR="00EF5CFE" w:rsidRPr="00891530" w:rsidRDefault="00EF5CFE" w:rsidP="00EF5CFE">
      <w:r>
        <w:t>Vol 3: Industrial Processes and Product Use – Electronics production Tier 2 and 3 methods.  Refrigeration and air-conditioning cook-book style guidance on building and HFC inventory, identi</w:t>
      </w:r>
      <w:r w:rsidR="00111C1F">
        <w:t>f</w:t>
      </w:r>
      <w:r>
        <w:t xml:space="preserve">y and distribution of Ozone depleting substances. </w:t>
      </w:r>
    </w:p>
    <w:p w14:paraId="1A2A4A4E" w14:textId="77777777" w:rsidR="00EF5CFE" w:rsidRDefault="00EF5CFE" w:rsidP="00EF5CFE">
      <w:r>
        <w:t xml:space="preserve">Vol 4: AFOLU – tier 1 factors updated. </w:t>
      </w:r>
    </w:p>
    <w:p w14:paraId="1644FD5D" w14:textId="1F0A336D" w:rsidR="00EF5CFE" w:rsidRDefault="00EF5CFE" w:rsidP="00EF5CFE">
      <w:r>
        <w:t>Vol 5: CH4 from landfills based on management, CH4 and N20 from wastewater treatment.</w:t>
      </w:r>
    </w:p>
    <w:p w14:paraId="544F5852" w14:textId="77777777" w:rsidR="00111C1F" w:rsidRDefault="00111C1F">
      <w:pPr>
        <w:spacing w:after="160" w:line="259" w:lineRule="auto"/>
        <w:rPr>
          <w:rFonts w:asciiTheme="majorHAnsi" w:eastAsiaTheme="majorEastAsia" w:hAnsiTheme="majorHAnsi" w:cstheme="majorBidi"/>
          <w:color w:val="003F5F" w:themeColor="text2"/>
          <w:sz w:val="28"/>
          <w:szCs w:val="26"/>
        </w:rPr>
      </w:pPr>
      <w:r>
        <w:br w:type="page"/>
      </w:r>
    </w:p>
    <w:p w14:paraId="6563A55A" w14:textId="15986F94" w:rsidR="00111C1F" w:rsidRPr="006928CC" w:rsidRDefault="00111C1F" w:rsidP="009D26E6">
      <w:pPr>
        <w:pStyle w:val="Heading2"/>
        <w:numPr>
          <w:ilvl w:val="0"/>
          <w:numId w:val="42"/>
        </w:numPr>
      </w:pPr>
      <w:bookmarkStart w:id="49" w:name="_Toc78869970"/>
      <w:r w:rsidRPr="006928CC">
        <w:lastRenderedPageBreak/>
        <w:t>An Open Letter to the Vermont Climate Council</w:t>
      </w:r>
      <w:bookmarkEnd w:id="49"/>
      <w:r w:rsidRPr="006928CC">
        <w:t xml:space="preserve"> </w:t>
      </w:r>
    </w:p>
    <w:p w14:paraId="1F6322A4" w14:textId="5403B4FC" w:rsidR="00111C1F" w:rsidRPr="00111C1F" w:rsidRDefault="00306C02">
      <w:r>
        <w:t>Attach as a pdf</w:t>
      </w:r>
      <w:r w:rsidR="007656EE">
        <w:t>.</w:t>
      </w:r>
      <w:r>
        <w:t xml:space="preserve"> </w:t>
      </w:r>
    </w:p>
    <w:sectPr w:rsidR="00111C1F" w:rsidRPr="00111C1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73665" w14:textId="77777777" w:rsidR="0010755B" w:rsidRDefault="0010755B" w:rsidP="00A51C17">
      <w:r>
        <w:separator/>
      </w:r>
    </w:p>
  </w:endnote>
  <w:endnote w:type="continuationSeparator" w:id="0">
    <w:p w14:paraId="49EAC9CE" w14:textId="77777777" w:rsidR="0010755B" w:rsidRDefault="0010755B" w:rsidP="00A51C17">
      <w:r>
        <w:continuationSeparator/>
      </w:r>
    </w:p>
  </w:endnote>
  <w:endnote w:type="continuationNotice" w:id="1">
    <w:p w14:paraId="50EF86AC" w14:textId="77777777" w:rsidR="0010755B" w:rsidRDefault="001075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6652F" w14:textId="77777777" w:rsidR="0010755B" w:rsidRDefault="0010755B" w:rsidP="00A51C17">
      <w:r>
        <w:separator/>
      </w:r>
    </w:p>
  </w:footnote>
  <w:footnote w:type="continuationSeparator" w:id="0">
    <w:p w14:paraId="296DF969" w14:textId="77777777" w:rsidR="0010755B" w:rsidRDefault="0010755B" w:rsidP="00A51C17">
      <w:r>
        <w:continuationSeparator/>
      </w:r>
    </w:p>
  </w:footnote>
  <w:footnote w:type="continuationNotice" w:id="1">
    <w:p w14:paraId="2F707349" w14:textId="77777777" w:rsidR="0010755B" w:rsidRDefault="0010755B">
      <w:pPr>
        <w:spacing w:line="240" w:lineRule="auto"/>
      </w:pPr>
    </w:p>
  </w:footnote>
  <w:footnote w:id="2">
    <w:p w14:paraId="7D8867F2" w14:textId="2C84B8B5" w:rsidR="00064FAD" w:rsidRDefault="00064FAD">
      <w:pPr>
        <w:pStyle w:val="FootnoteText"/>
      </w:pPr>
      <w:r>
        <w:rPr>
          <w:rStyle w:val="FootnoteReference"/>
        </w:rPr>
        <w:footnoteRef/>
      </w:r>
      <w:r>
        <w:t xml:space="preserve"> </w:t>
      </w:r>
      <w:r w:rsidR="00921479">
        <w:t xml:space="preserve">Vermont Greenhouse Gas Inventory and </w:t>
      </w:r>
      <w:r w:rsidR="003F5464">
        <w:t xml:space="preserve">Forecast: 1990-2017, </w:t>
      </w:r>
      <w:r w:rsidR="0020479C">
        <w:t xml:space="preserve">Prepared by the Air Quality and Climate Division, May 2021, available </w:t>
      </w:r>
      <w:hyperlink r:id="rId1" w:history="1">
        <w:r w:rsidR="00031797" w:rsidRPr="00031797">
          <w:rPr>
            <w:rStyle w:val="Hyperlink"/>
          </w:rPr>
          <w:t>here.</w:t>
        </w:r>
      </w:hyperlink>
    </w:p>
  </w:footnote>
  <w:footnote w:id="3">
    <w:p w14:paraId="68699591" w14:textId="365FB1B7" w:rsidR="004B28C2" w:rsidRDefault="004B28C2">
      <w:pPr>
        <w:pStyle w:val="FootnoteText"/>
      </w:pPr>
      <w:r>
        <w:rPr>
          <w:rStyle w:val="FootnoteReference"/>
        </w:rPr>
        <w:footnoteRef/>
      </w:r>
      <w:r>
        <w:t xml:space="preserve"> Ibid. </w:t>
      </w:r>
      <w:r w:rsidR="000A56C3">
        <w:t>Figure 1, page 8.</w:t>
      </w:r>
    </w:p>
  </w:footnote>
  <w:footnote w:id="4">
    <w:p w14:paraId="094AD779" w14:textId="0D61D7CD" w:rsidR="00000B1C" w:rsidRDefault="00000B1C">
      <w:pPr>
        <w:pStyle w:val="FootnoteText"/>
      </w:pPr>
      <w:r>
        <w:rPr>
          <w:rStyle w:val="FootnoteReference"/>
        </w:rPr>
        <w:footnoteRef/>
      </w:r>
      <w:r>
        <w:t xml:space="preserve"> See U.S. EPA, </w:t>
      </w:r>
      <w:r w:rsidR="006B0BC8" w:rsidRPr="00DC2DA7">
        <w:rPr>
          <w:i/>
          <w:iCs/>
        </w:rPr>
        <w:t>U.S. Inventory of Greenhouse Gas Emissions and Sinks, 1990-2019</w:t>
      </w:r>
      <w:r w:rsidR="006B0BC8">
        <w:t>, Section 1.5, and IPCC</w:t>
      </w:r>
      <w:r w:rsidR="00EA117C">
        <w:t xml:space="preserve">, </w:t>
      </w:r>
      <w:r w:rsidR="00EA117C" w:rsidRPr="00DC2DA7">
        <w:rPr>
          <w:i/>
          <w:iCs/>
        </w:rPr>
        <w:t xml:space="preserve">2019 </w:t>
      </w:r>
      <w:r w:rsidR="00FB33A1" w:rsidRPr="00DC2DA7">
        <w:rPr>
          <w:i/>
          <w:iCs/>
        </w:rPr>
        <w:t>Refinement to the 2006 IPCC Guidelines for National Greenhouse Gas Inventories</w:t>
      </w:r>
      <w:r w:rsidR="00FB33A1">
        <w:t>, Chapter 4</w:t>
      </w:r>
      <w:r w:rsidR="00DC2DA7">
        <w:t xml:space="preserve"> Methodological Choice and Identification of Key Categories. </w:t>
      </w:r>
    </w:p>
  </w:footnote>
  <w:footnote w:id="5">
    <w:p w14:paraId="5DE8FC18" w14:textId="6BF204DA" w:rsidR="0091481C" w:rsidRDefault="0091481C">
      <w:pPr>
        <w:pStyle w:val="FootnoteText"/>
      </w:pPr>
      <w:r>
        <w:rPr>
          <w:rStyle w:val="FootnoteReference"/>
        </w:rPr>
        <w:footnoteRef/>
      </w:r>
      <w:r>
        <w:t xml:space="preserve"> </w:t>
      </w:r>
      <w:r w:rsidR="00486916">
        <w:t xml:space="preserve">Recommendations to the Vermont Climate Council, </w:t>
      </w:r>
      <w:r w:rsidR="00044C2B">
        <w:t xml:space="preserve">Open Letter </w:t>
      </w:r>
      <w:r w:rsidR="00486916">
        <w:t xml:space="preserve">Submitted March 9, 2021.  George </w:t>
      </w:r>
      <w:r w:rsidR="00044C2B">
        <w:t xml:space="preserve">M. Gross. </w:t>
      </w:r>
    </w:p>
  </w:footnote>
  <w:footnote w:id="6">
    <w:p w14:paraId="4837BF68" w14:textId="7596AF0C" w:rsidR="001E5CA3" w:rsidRDefault="001E5CA3">
      <w:pPr>
        <w:pStyle w:val="FootnoteText"/>
      </w:pPr>
      <w:r>
        <w:rPr>
          <w:rStyle w:val="FootnoteReference"/>
        </w:rPr>
        <w:footnoteRef/>
      </w:r>
      <w:r>
        <w:t xml:space="preserve"> Act</w:t>
      </w:r>
      <w:r w:rsidR="00F65738">
        <w:t xml:space="preserve"> 153, Section </w:t>
      </w:r>
      <w:r w:rsidR="007E07FC">
        <w:t>582 g).</w:t>
      </w:r>
    </w:p>
  </w:footnote>
  <w:footnote w:id="7">
    <w:p w14:paraId="5AE8A73B" w14:textId="41C81C76" w:rsidR="003474EB" w:rsidRDefault="003474EB">
      <w:pPr>
        <w:pStyle w:val="FootnoteText"/>
      </w:pPr>
      <w:r>
        <w:rPr>
          <w:rStyle w:val="FootnoteReference"/>
        </w:rPr>
        <w:footnoteRef/>
      </w:r>
      <w:r>
        <w:t xml:space="preserve"> See </w:t>
      </w:r>
      <w:r w:rsidR="00F867C7">
        <w:t xml:space="preserve">EX-ACT tab on the </w:t>
      </w:r>
      <w:r>
        <w:t xml:space="preserve">Economic </w:t>
      </w:r>
      <w:r w:rsidR="001D377C">
        <w:t>and Policy Analysis of Climate Change</w:t>
      </w:r>
      <w:r w:rsidR="0018684E">
        <w:t xml:space="preserve"> of the Food </w:t>
      </w:r>
      <w:r w:rsidR="00592932">
        <w:t>a</w:t>
      </w:r>
      <w:r w:rsidR="0018684E">
        <w:t>nd Agriculture Organization website</w:t>
      </w:r>
      <w:r w:rsidR="00F867C7">
        <w:t xml:space="preserve"> </w:t>
      </w:r>
      <w:hyperlink r:id="rId2" w:history="1">
        <w:r w:rsidR="0018684E" w:rsidRPr="0018684E">
          <w:rPr>
            <w:rStyle w:val="Hyperlink"/>
          </w:rPr>
          <w:t>here.</w:t>
        </w:r>
      </w:hyperlink>
    </w:p>
  </w:footnote>
  <w:footnote w:id="8">
    <w:p w14:paraId="028D6CA3" w14:textId="78E014C4" w:rsidR="006D2953" w:rsidRDefault="006D2953">
      <w:pPr>
        <w:pStyle w:val="FootnoteText"/>
      </w:pPr>
      <w:r>
        <w:rPr>
          <w:rStyle w:val="FootnoteReference"/>
        </w:rPr>
        <w:footnoteRef/>
      </w:r>
      <w:r>
        <w:t xml:space="preserve"> IPCC, Assessment Report 5, Working Group 1, Table 8.A.1. </w:t>
      </w:r>
    </w:p>
  </w:footnote>
  <w:footnote w:id="9">
    <w:p w14:paraId="0DCE6CD4" w14:textId="6F453F51" w:rsidR="0030219E" w:rsidRDefault="0030219E">
      <w:pPr>
        <w:pStyle w:val="FootnoteText"/>
      </w:pPr>
      <w:r>
        <w:rPr>
          <w:rStyle w:val="FootnoteReference"/>
        </w:rPr>
        <w:footnoteRef/>
      </w:r>
      <w:r>
        <w:t xml:space="preserve"> IPCC 2019 Methodology Refinement, Vol. 1 Overview, page 12</w:t>
      </w:r>
      <w:r w:rsidR="00114EEF">
        <w:t>.</w:t>
      </w:r>
    </w:p>
  </w:footnote>
  <w:footnote w:id="10">
    <w:p w14:paraId="3B1921D3" w14:textId="5EFB73E3" w:rsidR="00866512" w:rsidRDefault="00866512">
      <w:pPr>
        <w:pStyle w:val="FootnoteText"/>
      </w:pPr>
      <w:r>
        <w:rPr>
          <w:rStyle w:val="FootnoteReference"/>
        </w:rPr>
        <w:footnoteRef/>
      </w:r>
      <w:r>
        <w:t xml:space="preserve"> </w:t>
      </w:r>
      <w:r w:rsidR="001258AA">
        <w:t>Ibid. p.</w:t>
      </w:r>
      <w:r w:rsidR="0018221D">
        <w:t xml:space="preserve"> 12. </w:t>
      </w:r>
    </w:p>
  </w:footnote>
  <w:footnote w:id="11">
    <w:p w14:paraId="53898815" w14:textId="3302B4CD" w:rsidR="001258AA" w:rsidRDefault="001258AA">
      <w:pPr>
        <w:pStyle w:val="FootnoteText"/>
      </w:pPr>
      <w:r>
        <w:rPr>
          <w:rStyle w:val="FootnoteReference"/>
        </w:rPr>
        <w:footnoteRef/>
      </w:r>
      <w:r>
        <w:t xml:space="preserve"> Ibid. p. 11.</w:t>
      </w:r>
    </w:p>
  </w:footnote>
  <w:footnote w:id="12">
    <w:p w14:paraId="3F41956A" w14:textId="3761523C" w:rsidR="00BF27F9" w:rsidRDefault="00BF27F9">
      <w:pPr>
        <w:pStyle w:val="FootnoteText"/>
      </w:pPr>
      <w:r>
        <w:rPr>
          <w:rStyle w:val="FootnoteReference"/>
        </w:rPr>
        <w:footnoteRef/>
      </w:r>
      <w:r>
        <w:t xml:space="preserve"> EPA </w:t>
      </w:r>
      <w:r w:rsidR="00430277">
        <w:t xml:space="preserve">Inventory of US Greenhouse Gas Emissions and Sinks, 1990-2019.  </w:t>
      </w:r>
      <w:r w:rsidR="00D763C3">
        <w:t>Box ES-1</w:t>
      </w:r>
      <w:r w:rsidR="00AB684D">
        <w:t xml:space="preserve"> Methodological Approach.</w:t>
      </w:r>
    </w:p>
  </w:footnote>
  <w:footnote w:id="13">
    <w:p w14:paraId="483379D2" w14:textId="77777777" w:rsidR="00B51997" w:rsidRDefault="00B51997" w:rsidP="00B51997">
      <w:pPr>
        <w:pStyle w:val="FootnoteText"/>
      </w:pPr>
      <w:r>
        <w:rPr>
          <w:rStyle w:val="FootnoteReference"/>
        </w:rPr>
        <w:footnoteRef/>
      </w:r>
      <w:r>
        <w:t xml:space="preserve"> California Air Resources Board, Short-Lived Climate Pollutant Reduction Strategy, March 2017.</w:t>
      </w:r>
    </w:p>
  </w:footnote>
  <w:footnote w:id="14">
    <w:p w14:paraId="79D53F7C" w14:textId="77777777" w:rsidR="00B51997" w:rsidRDefault="00B51997" w:rsidP="00B51997">
      <w:pPr>
        <w:pStyle w:val="FootnoteText"/>
      </w:pPr>
      <w:r>
        <w:rPr>
          <w:rStyle w:val="FootnoteReference"/>
        </w:rPr>
        <w:footnoteRef/>
      </w:r>
      <w:r>
        <w:t xml:space="preserve"> California Air Resources Board, An Inventory of Ecosystem Carbon in California’s Natural &amp; Working Lands, 2018.  </w:t>
      </w:r>
    </w:p>
  </w:footnote>
  <w:footnote w:id="15">
    <w:p w14:paraId="1E318211" w14:textId="016723BF" w:rsidR="00B65601" w:rsidRDefault="00B65601">
      <w:pPr>
        <w:pStyle w:val="FootnoteText"/>
      </w:pPr>
      <w:r>
        <w:rPr>
          <w:rStyle w:val="FootnoteReference"/>
        </w:rPr>
        <w:footnoteRef/>
      </w:r>
      <w:r>
        <w:t xml:space="preserve"> New York State Greenhouse Gas Inventory, NYSERDA, Table S-1</w:t>
      </w:r>
      <w:r w:rsidR="003E4EC8">
        <w:t>,</w:t>
      </w:r>
      <w:r>
        <w:t xml:space="preserve"> page S3.</w:t>
      </w:r>
    </w:p>
  </w:footnote>
  <w:footnote w:id="16">
    <w:p w14:paraId="1F87CD9D" w14:textId="77777777" w:rsidR="0080415D" w:rsidRDefault="0080415D" w:rsidP="0080415D">
      <w:pPr>
        <w:pStyle w:val="FootnoteText"/>
      </w:pPr>
      <w:r>
        <w:rPr>
          <w:rStyle w:val="FootnoteReference"/>
        </w:rPr>
        <w:footnoteRef/>
      </w:r>
      <w:r>
        <w:t xml:space="preserve"> “Appendix A and B: Oregon’s Greenhouse Gas Emissions though 2015: An assessment of Oregon’s sector-based and consumption-based greenhouse gas emissions,” Greenhouse Gas Reporting Program and Materials Management, May 2018,</w:t>
      </w:r>
      <w:r w:rsidRPr="00160E5A">
        <w:t xml:space="preserve"> </w:t>
      </w:r>
      <w:r>
        <w:t>Portland, OR.</w:t>
      </w:r>
    </w:p>
  </w:footnote>
  <w:footnote w:id="17">
    <w:p w14:paraId="37E7CCFD" w14:textId="258BE073" w:rsidR="0080415D" w:rsidRDefault="0080415D" w:rsidP="0080415D">
      <w:pPr>
        <w:pStyle w:val="FootnoteText"/>
      </w:pPr>
      <w:r>
        <w:rPr>
          <w:rStyle w:val="FootnoteReference"/>
        </w:rPr>
        <w:footnoteRef/>
      </w:r>
      <w:r>
        <w:t xml:space="preserve"> </w:t>
      </w:r>
      <w:hyperlink r:id="rId3" w:history="1">
        <w:r w:rsidR="005569E4" w:rsidRPr="005F4668">
          <w:rPr>
            <w:rStyle w:val="Hyperlink"/>
          </w:rPr>
          <w:t>https://www.pca.state.mn.us/air/consumption-related-emissions</w:t>
        </w:r>
      </w:hyperlink>
    </w:p>
  </w:footnote>
  <w:footnote w:id="18">
    <w:p w14:paraId="52AFCE4A" w14:textId="77777777" w:rsidR="0080415D" w:rsidRDefault="0080415D" w:rsidP="0080415D">
      <w:pPr>
        <w:pStyle w:val="FootnoteText"/>
      </w:pPr>
      <w:r>
        <w:rPr>
          <w:rStyle w:val="FootnoteReference"/>
        </w:rPr>
        <w:footnoteRef/>
      </w:r>
      <w:r>
        <w:t xml:space="preserve"> </w:t>
      </w:r>
      <w:hyperlink r:id="rId4" w:history="1">
        <w:r w:rsidRPr="009224D7">
          <w:rPr>
            <w:rStyle w:val="Hyperlink"/>
          </w:rPr>
          <w:t>https://www.oregon.gov/deq/aq/programs/Pages/GHG-Inventory.aspx</w:t>
        </w:r>
      </w:hyperlink>
      <w:r>
        <w:t xml:space="preserve"> </w:t>
      </w:r>
    </w:p>
  </w:footnote>
  <w:footnote w:id="19">
    <w:p w14:paraId="3D89D88E" w14:textId="77777777" w:rsidR="0080415D" w:rsidRDefault="0080415D" w:rsidP="0080415D">
      <w:pPr>
        <w:pStyle w:val="FootnoteText"/>
      </w:pPr>
      <w:r>
        <w:rPr>
          <w:rStyle w:val="FootnoteReference"/>
        </w:rPr>
        <w:footnoteRef/>
      </w:r>
      <w:r>
        <w:t xml:space="preserve"> “Oregon’s Greenhouse Gas Emissions through 2015: An assessment of Oregon’s sector-based and consumption-based greenhouse gas emissions,” Greenhouse Gas Reporting Program and Materials Management, May 2018,</w:t>
      </w:r>
      <w:r w:rsidRPr="00160E5A">
        <w:t xml:space="preserve"> </w:t>
      </w:r>
      <w:r>
        <w:t>Portland, OR, page 4.</w:t>
      </w:r>
    </w:p>
  </w:footnote>
  <w:footnote w:id="20">
    <w:p w14:paraId="6C459A19" w14:textId="77777777" w:rsidR="0080415D" w:rsidRDefault="0080415D" w:rsidP="0080415D">
      <w:pPr>
        <w:pStyle w:val="FootnoteText"/>
      </w:pPr>
      <w:r>
        <w:rPr>
          <w:rStyle w:val="FootnoteReference"/>
        </w:rPr>
        <w:footnoteRef/>
      </w:r>
      <w:r>
        <w:t xml:space="preserve"> </w:t>
      </w:r>
      <w:hyperlink r:id="rId5" w:history="1">
        <w:r w:rsidRPr="005F4668">
          <w:rPr>
            <w:rStyle w:val="Hyperlink"/>
          </w:rPr>
          <w:t>https://www.pca.state.mn.us/air/consumption-related-emissions</w:t>
        </w:r>
      </w:hyperlink>
      <w:r>
        <w:t xml:space="preserve"> </w:t>
      </w:r>
    </w:p>
  </w:footnote>
  <w:footnote w:id="21">
    <w:p w14:paraId="45359B1B" w14:textId="77777777" w:rsidR="0080415D" w:rsidRDefault="0080415D" w:rsidP="0080415D">
      <w:pPr>
        <w:pStyle w:val="FootnoteText"/>
      </w:pPr>
      <w:r>
        <w:rPr>
          <w:rStyle w:val="FootnoteReference"/>
        </w:rPr>
        <w:footnoteRef/>
      </w:r>
      <w:r>
        <w:rPr>
          <w:rFonts w:cs="Calibri"/>
        </w:rPr>
        <w:t xml:space="preserve"> </w:t>
      </w:r>
      <w:r>
        <w:t>“Oregon’s Greenhouse Gas Emissions through 2015: An assessment of Oregon’s sector-based and consumption-based greenhouse gas emissions,” Greenhouse Gas Reporting Program and Materials Management, May 2018,</w:t>
      </w:r>
      <w:r w:rsidRPr="00160E5A">
        <w:t xml:space="preserve"> </w:t>
      </w:r>
      <w:r>
        <w:t>Portland, OR, page 41.</w:t>
      </w:r>
    </w:p>
  </w:footnote>
  <w:footnote w:id="22">
    <w:p w14:paraId="7583ABAA" w14:textId="273295F2" w:rsidR="007B3154" w:rsidRDefault="007B3154">
      <w:pPr>
        <w:pStyle w:val="FootnoteText"/>
      </w:pPr>
      <w:r>
        <w:rPr>
          <w:rStyle w:val="FootnoteReference"/>
        </w:rPr>
        <w:footnoteRef/>
      </w:r>
      <w:r>
        <w:t xml:space="preserve"> IBID</w:t>
      </w:r>
    </w:p>
  </w:footnote>
  <w:footnote w:id="23">
    <w:p w14:paraId="01EF146E" w14:textId="77777777" w:rsidR="0080415D" w:rsidRDefault="0080415D" w:rsidP="0080415D">
      <w:pPr>
        <w:pStyle w:val="FootnoteText"/>
      </w:pPr>
      <w:r>
        <w:rPr>
          <w:rStyle w:val="FootnoteReference"/>
        </w:rPr>
        <w:footnoteRef/>
      </w:r>
      <w:r>
        <w:t xml:space="preserve"> “Oregon’s Greenhouse Gas Emissions through 2015: An assessment of Oregon’s sector-based and consumption-based greenhouse gas emissions,” Greenhouse Gas Reporting Program and Materials Management, May 2018,</w:t>
      </w:r>
      <w:r w:rsidRPr="00160E5A">
        <w:t xml:space="preserve"> </w:t>
      </w:r>
      <w:r>
        <w:t>Portland, OR, page 39.</w:t>
      </w:r>
    </w:p>
  </w:footnote>
  <w:footnote w:id="24">
    <w:p w14:paraId="5946AAD1" w14:textId="7F97F2C5" w:rsidR="00D34A2D" w:rsidRDefault="00D34A2D">
      <w:pPr>
        <w:pStyle w:val="FootnoteText"/>
      </w:pPr>
      <w:r>
        <w:rPr>
          <w:rStyle w:val="FootnoteReference"/>
        </w:rPr>
        <w:footnoteRef/>
      </w:r>
      <w:r>
        <w:t xml:space="preserve"> </w:t>
      </w:r>
      <w:r w:rsidR="005628A9">
        <w:t>Leva</w:t>
      </w:r>
      <w:r w:rsidR="005B0DBA">
        <w:t>ss</w:t>
      </w:r>
      <w:r w:rsidR="00B85E40">
        <w:t>eu</w:t>
      </w:r>
      <w:r w:rsidR="0072163C">
        <w:t xml:space="preserve">r, et. al., </w:t>
      </w:r>
      <w:r w:rsidR="00E76635">
        <w:t>2021.  Improving the accuracy of electricity carbon footprint: Estimation of hydroelectric res</w:t>
      </w:r>
      <w:r w:rsidR="00056118">
        <w:t xml:space="preserve">ervoir greenhouse gas emissions, </w:t>
      </w:r>
      <w:r w:rsidR="00AB60B6">
        <w:t xml:space="preserve">Renewable and Sustainable Energy Reviews, </w:t>
      </w:r>
      <w:hyperlink r:id="rId6" w:history="1">
        <w:r w:rsidR="00364375" w:rsidRPr="0026541E">
          <w:rPr>
            <w:rStyle w:val="Hyperlink"/>
          </w:rPr>
          <w:t>www.elsevier.com/locate/rser</w:t>
        </w:r>
      </w:hyperlink>
      <w:r w:rsidR="00364375">
        <w:t xml:space="preserve">. </w:t>
      </w:r>
    </w:p>
  </w:footnote>
  <w:footnote w:id="25">
    <w:p w14:paraId="1BE67383" w14:textId="41CC3E76" w:rsidR="00FD0464" w:rsidRDefault="00FD0464">
      <w:pPr>
        <w:pStyle w:val="FootnoteText"/>
      </w:pPr>
      <w:r>
        <w:rPr>
          <w:rStyle w:val="FootnoteReference"/>
        </w:rPr>
        <w:footnoteRef/>
      </w:r>
      <w:r>
        <w:t xml:space="preserve"> </w:t>
      </w:r>
      <w:r w:rsidR="005610A9">
        <w:t xml:space="preserve">NREL, Open EI, See LCA Harmonization research </w:t>
      </w:r>
      <w:hyperlink r:id="rId7" w:history="1">
        <w:r w:rsidR="005610A9" w:rsidRPr="005610A9">
          <w:rPr>
            <w:rStyle w:val="Hyperlink"/>
          </w:rPr>
          <w:t>here.</w:t>
        </w:r>
      </w:hyperlink>
    </w:p>
  </w:footnote>
  <w:footnote w:id="26">
    <w:p w14:paraId="14E1AA85" w14:textId="5318E282" w:rsidR="00E7039F" w:rsidRDefault="00E7039F">
      <w:pPr>
        <w:pStyle w:val="FootnoteText"/>
      </w:pPr>
      <w:r>
        <w:rPr>
          <w:rStyle w:val="FootnoteReference"/>
        </w:rPr>
        <w:footnoteRef/>
      </w:r>
      <w:r>
        <w:t xml:space="preserve"> Cool California available </w:t>
      </w:r>
      <w:hyperlink r:id="rId8" w:history="1">
        <w:r w:rsidR="00584B65" w:rsidRPr="00584B65">
          <w:rPr>
            <w:rStyle w:val="Hyperlink"/>
          </w:rPr>
          <w:t>here.</w:t>
        </w:r>
      </w:hyperlink>
    </w:p>
  </w:footnote>
  <w:footnote w:id="27">
    <w:p w14:paraId="56033553" w14:textId="77777777" w:rsidR="00EA5237" w:rsidRDefault="00EA5237">
      <w:pPr>
        <w:pStyle w:val="FootnoteText"/>
      </w:pPr>
      <w:r>
        <w:rPr>
          <w:rStyle w:val="FootnoteReference"/>
        </w:rPr>
        <w:footnoteRef/>
      </w:r>
      <w:r w:rsidR="00DB6B7F">
        <w:t xml:space="preserve"> </w:t>
      </w:r>
      <w:r w:rsidR="00DB6B7F" w:rsidRPr="00462BA5">
        <w:rPr>
          <w:i/>
          <w:iCs/>
        </w:rPr>
        <w:t>2019 Refinement to the 2006 IPCC Guidelines for National Greenhouse Gas Inventorie</w:t>
      </w:r>
      <w:r w:rsidR="00DB6B7F">
        <w:rPr>
          <w:i/>
          <w:iCs/>
        </w:rPr>
        <w:t>s, Chapter 4: Methodological Choice and Identification of Key Categories.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43BB"/>
    <w:multiLevelType w:val="hybridMultilevel"/>
    <w:tmpl w:val="AE68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75818"/>
    <w:multiLevelType w:val="hybridMultilevel"/>
    <w:tmpl w:val="D4EA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83FA5"/>
    <w:multiLevelType w:val="hybridMultilevel"/>
    <w:tmpl w:val="C160F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721D"/>
    <w:multiLevelType w:val="hybridMultilevel"/>
    <w:tmpl w:val="3A9828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15:restartNumberingAfterBreak="0">
    <w:nsid w:val="100B2C3A"/>
    <w:multiLevelType w:val="hybridMultilevel"/>
    <w:tmpl w:val="D2606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05B8D"/>
    <w:multiLevelType w:val="hybridMultilevel"/>
    <w:tmpl w:val="0636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C706F"/>
    <w:multiLevelType w:val="hybridMultilevel"/>
    <w:tmpl w:val="EBACD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7C71AC"/>
    <w:multiLevelType w:val="hybridMultilevel"/>
    <w:tmpl w:val="5544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BB37B5"/>
    <w:multiLevelType w:val="hybridMultilevel"/>
    <w:tmpl w:val="C64E3EC0"/>
    <w:lvl w:ilvl="0" w:tplc="0409000F">
      <w:start w:val="1"/>
      <w:numFmt w:val="decimal"/>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7F06DD0"/>
    <w:multiLevelType w:val="hybridMultilevel"/>
    <w:tmpl w:val="AE685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E6A2F"/>
    <w:multiLevelType w:val="hybridMultilevel"/>
    <w:tmpl w:val="3A50A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D327F"/>
    <w:multiLevelType w:val="hybridMultilevel"/>
    <w:tmpl w:val="DE10C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00596"/>
    <w:multiLevelType w:val="hybridMultilevel"/>
    <w:tmpl w:val="F88A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FF3041"/>
    <w:multiLevelType w:val="hybridMultilevel"/>
    <w:tmpl w:val="C7BE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E1D0E"/>
    <w:multiLevelType w:val="hybridMultilevel"/>
    <w:tmpl w:val="ACCC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74E1E"/>
    <w:multiLevelType w:val="hybridMultilevel"/>
    <w:tmpl w:val="C64E3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BE2DEE"/>
    <w:multiLevelType w:val="hybridMultilevel"/>
    <w:tmpl w:val="9BA215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301A09"/>
    <w:multiLevelType w:val="hybridMultilevel"/>
    <w:tmpl w:val="1A1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95792"/>
    <w:multiLevelType w:val="hybridMultilevel"/>
    <w:tmpl w:val="6982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292500"/>
    <w:multiLevelType w:val="hybridMultilevel"/>
    <w:tmpl w:val="F4D4107C"/>
    <w:lvl w:ilvl="0" w:tplc="E536F8D0">
      <w:start w:val="1"/>
      <w:numFmt w:val="bullet"/>
      <w:pStyle w:val="ListParagraph"/>
      <w:lvlText w:val=""/>
      <w:lvlJc w:val="left"/>
      <w:pPr>
        <w:ind w:left="720" w:hanging="360"/>
      </w:pPr>
      <w:rPr>
        <w:rFonts w:ascii="Symbol" w:hAnsi="Symbol" w:hint="default"/>
        <w:color w:val="70CDE3"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97E77"/>
    <w:multiLevelType w:val="hybridMultilevel"/>
    <w:tmpl w:val="60AE6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60048"/>
    <w:multiLevelType w:val="hybridMultilevel"/>
    <w:tmpl w:val="89F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FA10C8"/>
    <w:multiLevelType w:val="hybridMultilevel"/>
    <w:tmpl w:val="1A8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F34DA8"/>
    <w:multiLevelType w:val="hybridMultilevel"/>
    <w:tmpl w:val="BF2234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5C7AC1"/>
    <w:multiLevelType w:val="hybridMultilevel"/>
    <w:tmpl w:val="ABBE1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6661E5"/>
    <w:multiLevelType w:val="hybridMultilevel"/>
    <w:tmpl w:val="BF743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632E4"/>
    <w:multiLevelType w:val="hybridMultilevel"/>
    <w:tmpl w:val="40963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734089"/>
    <w:multiLevelType w:val="hybridMultilevel"/>
    <w:tmpl w:val="F8C672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85E78DD"/>
    <w:multiLevelType w:val="hybridMultilevel"/>
    <w:tmpl w:val="89F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2"/>
  </w:num>
  <w:num w:numId="4">
    <w:abstractNumId w:val="25"/>
  </w:num>
  <w:num w:numId="5">
    <w:abstractNumId w:val="4"/>
  </w:num>
  <w:num w:numId="6">
    <w:abstractNumId w:val="11"/>
  </w:num>
  <w:num w:numId="7">
    <w:abstractNumId w:val="26"/>
  </w:num>
  <w:num w:numId="8">
    <w:abstractNumId w:val="5"/>
  </w:num>
  <w:num w:numId="9">
    <w:abstractNumId w:val="14"/>
  </w:num>
  <w:num w:numId="10">
    <w:abstractNumId w:val="18"/>
  </w:num>
  <w:num w:numId="11">
    <w:abstractNumId w:val="13"/>
  </w:num>
  <w:num w:numId="12">
    <w:abstractNumId w:val="22"/>
  </w:num>
  <w:num w:numId="13">
    <w:abstractNumId w:val="6"/>
  </w:num>
  <w:num w:numId="14">
    <w:abstractNumId w:val="21"/>
  </w:num>
  <w:num w:numId="15">
    <w:abstractNumId w:val="16"/>
  </w:num>
  <w:num w:numId="16">
    <w:abstractNumId w:val="27"/>
  </w:num>
  <w:num w:numId="17">
    <w:abstractNumId w:val="24"/>
  </w:num>
  <w:num w:numId="18">
    <w:abstractNumId w:val="20"/>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28"/>
  </w:num>
  <w:num w:numId="28">
    <w:abstractNumId w:val="19"/>
  </w:num>
  <w:num w:numId="29">
    <w:abstractNumId w:val="19"/>
  </w:num>
  <w:num w:numId="30">
    <w:abstractNumId w:val="19"/>
  </w:num>
  <w:num w:numId="31">
    <w:abstractNumId w:val="19"/>
  </w:num>
  <w:num w:numId="32">
    <w:abstractNumId w:val="19"/>
  </w:num>
  <w:num w:numId="33">
    <w:abstractNumId w:val="7"/>
  </w:num>
  <w:num w:numId="34">
    <w:abstractNumId w:val="0"/>
  </w:num>
  <w:num w:numId="35">
    <w:abstractNumId w:val="3"/>
  </w:num>
  <w:num w:numId="36">
    <w:abstractNumId w:val="8"/>
  </w:num>
  <w:num w:numId="37">
    <w:abstractNumId w:val="17"/>
  </w:num>
  <w:num w:numId="38">
    <w:abstractNumId w:val="9"/>
  </w:num>
  <w:num w:numId="39">
    <w:abstractNumId w:val="23"/>
  </w:num>
  <w:num w:numId="40">
    <w:abstractNumId w:val="15"/>
  </w:num>
  <w:num w:numId="41">
    <w:abstractNumId w:val="1"/>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C17"/>
    <w:rsid w:val="000005F7"/>
    <w:rsid w:val="00000B1C"/>
    <w:rsid w:val="00001644"/>
    <w:rsid w:val="000028A9"/>
    <w:rsid w:val="00003C3F"/>
    <w:rsid w:val="00004957"/>
    <w:rsid w:val="0000530B"/>
    <w:rsid w:val="000108B1"/>
    <w:rsid w:val="0001207B"/>
    <w:rsid w:val="00013180"/>
    <w:rsid w:val="00013329"/>
    <w:rsid w:val="000136A0"/>
    <w:rsid w:val="00014B94"/>
    <w:rsid w:val="00015F01"/>
    <w:rsid w:val="00015F19"/>
    <w:rsid w:val="00020E65"/>
    <w:rsid w:val="00021791"/>
    <w:rsid w:val="0002226A"/>
    <w:rsid w:val="00024369"/>
    <w:rsid w:val="0002487F"/>
    <w:rsid w:val="0003054C"/>
    <w:rsid w:val="00030F7C"/>
    <w:rsid w:val="000315A1"/>
    <w:rsid w:val="00031797"/>
    <w:rsid w:val="00031B77"/>
    <w:rsid w:val="000320D4"/>
    <w:rsid w:val="000325C9"/>
    <w:rsid w:val="000354CB"/>
    <w:rsid w:val="00035A75"/>
    <w:rsid w:val="00040E3B"/>
    <w:rsid w:val="00042EEE"/>
    <w:rsid w:val="00043D4A"/>
    <w:rsid w:val="00044C2B"/>
    <w:rsid w:val="00045110"/>
    <w:rsid w:val="000452CC"/>
    <w:rsid w:val="000464BE"/>
    <w:rsid w:val="000468CD"/>
    <w:rsid w:val="000475A7"/>
    <w:rsid w:val="000505A5"/>
    <w:rsid w:val="00050FEE"/>
    <w:rsid w:val="000517CB"/>
    <w:rsid w:val="00051F4B"/>
    <w:rsid w:val="00054BA6"/>
    <w:rsid w:val="00055819"/>
    <w:rsid w:val="00056118"/>
    <w:rsid w:val="00056377"/>
    <w:rsid w:val="00057B08"/>
    <w:rsid w:val="00060419"/>
    <w:rsid w:val="00061205"/>
    <w:rsid w:val="000613F5"/>
    <w:rsid w:val="0006240E"/>
    <w:rsid w:val="00064E85"/>
    <w:rsid w:val="00064FAD"/>
    <w:rsid w:val="00066330"/>
    <w:rsid w:val="0006640C"/>
    <w:rsid w:val="00067A35"/>
    <w:rsid w:val="00067C27"/>
    <w:rsid w:val="00070CE9"/>
    <w:rsid w:val="00070D69"/>
    <w:rsid w:val="0007281C"/>
    <w:rsid w:val="00075250"/>
    <w:rsid w:val="0007526C"/>
    <w:rsid w:val="000758FD"/>
    <w:rsid w:val="00075D55"/>
    <w:rsid w:val="0007614D"/>
    <w:rsid w:val="00076549"/>
    <w:rsid w:val="0007694B"/>
    <w:rsid w:val="00077237"/>
    <w:rsid w:val="00077F7C"/>
    <w:rsid w:val="000806C6"/>
    <w:rsid w:val="00080881"/>
    <w:rsid w:val="000835D2"/>
    <w:rsid w:val="00083C99"/>
    <w:rsid w:val="0008495D"/>
    <w:rsid w:val="00084978"/>
    <w:rsid w:val="000858FB"/>
    <w:rsid w:val="00087E64"/>
    <w:rsid w:val="00090776"/>
    <w:rsid w:val="000918D3"/>
    <w:rsid w:val="00091B72"/>
    <w:rsid w:val="0009287F"/>
    <w:rsid w:val="00093AF2"/>
    <w:rsid w:val="00094145"/>
    <w:rsid w:val="000944E4"/>
    <w:rsid w:val="00096FA5"/>
    <w:rsid w:val="00097D26"/>
    <w:rsid w:val="000A0E7A"/>
    <w:rsid w:val="000A4910"/>
    <w:rsid w:val="000A52AA"/>
    <w:rsid w:val="000A56C3"/>
    <w:rsid w:val="000A5C01"/>
    <w:rsid w:val="000A5C8E"/>
    <w:rsid w:val="000A63E6"/>
    <w:rsid w:val="000A678E"/>
    <w:rsid w:val="000A681A"/>
    <w:rsid w:val="000A6B57"/>
    <w:rsid w:val="000A6D15"/>
    <w:rsid w:val="000A70C7"/>
    <w:rsid w:val="000A7339"/>
    <w:rsid w:val="000A7A7C"/>
    <w:rsid w:val="000B045C"/>
    <w:rsid w:val="000B07ED"/>
    <w:rsid w:val="000B14E3"/>
    <w:rsid w:val="000B1B1D"/>
    <w:rsid w:val="000B28EA"/>
    <w:rsid w:val="000B3BA3"/>
    <w:rsid w:val="000B51EE"/>
    <w:rsid w:val="000B52A3"/>
    <w:rsid w:val="000B55BB"/>
    <w:rsid w:val="000B57BA"/>
    <w:rsid w:val="000B664E"/>
    <w:rsid w:val="000B72A0"/>
    <w:rsid w:val="000B7E63"/>
    <w:rsid w:val="000C011D"/>
    <w:rsid w:val="000C147C"/>
    <w:rsid w:val="000C28C1"/>
    <w:rsid w:val="000C33C7"/>
    <w:rsid w:val="000C563B"/>
    <w:rsid w:val="000C58A3"/>
    <w:rsid w:val="000C61D8"/>
    <w:rsid w:val="000C6C58"/>
    <w:rsid w:val="000D04E8"/>
    <w:rsid w:val="000D18E9"/>
    <w:rsid w:val="000D1F29"/>
    <w:rsid w:val="000D217F"/>
    <w:rsid w:val="000D23D9"/>
    <w:rsid w:val="000D2784"/>
    <w:rsid w:val="000D2978"/>
    <w:rsid w:val="000D2DFA"/>
    <w:rsid w:val="000D2FED"/>
    <w:rsid w:val="000D3223"/>
    <w:rsid w:val="000D40A5"/>
    <w:rsid w:val="000D45CC"/>
    <w:rsid w:val="000D61BE"/>
    <w:rsid w:val="000E11D6"/>
    <w:rsid w:val="000E1C4E"/>
    <w:rsid w:val="000E1EB5"/>
    <w:rsid w:val="000E23ED"/>
    <w:rsid w:val="000E2883"/>
    <w:rsid w:val="000E2B31"/>
    <w:rsid w:val="000E389C"/>
    <w:rsid w:val="000E4D1E"/>
    <w:rsid w:val="000E5215"/>
    <w:rsid w:val="000E6753"/>
    <w:rsid w:val="000E6E3D"/>
    <w:rsid w:val="000F06D6"/>
    <w:rsid w:val="000F0F28"/>
    <w:rsid w:val="000F19EF"/>
    <w:rsid w:val="000F2333"/>
    <w:rsid w:val="000F2921"/>
    <w:rsid w:val="000F3780"/>
    <w:rsid w:val="000F3D55"/>
    <w:rsid w:val="000F4D4A"/>
    <w:rsid w:val="000F51DF"/>
    <w:rsid w:val="000F5588"/>
    <w:rsid w:val="000F5760"/>
    <w:rsid w:val="000F6AD9"/>
    <w:rsid w:val="000F6BE7"/>
    <w:rsid w:val="000F7605"/>
    <w:rsid w:val="000F7963"/>
    <w:rsid w:val="00100273"/>
    <w:rsid w:val="00100F7A"/>
    <w:rsid w:val="00101CA3"/>
    <w:rsid w:val="001037EF"/>
    <w:rsid w:val="00104A49"/>
    <w:rsid w:val="00105717"/>
    <w:rsid w:val="00106A1C"/>
    <w:rsid w:val="0010755B"/>
    <w:rsid w:val="00107DB7"/>
    <w:rsid w:val="00110409"/>
    <w:rsid w:val="001108B5"/>
    <w:rsid w:val="00111C1F"/>
    <w:rsid w:val="0011275D"/>
    <w:rsid w:val="00112C46"/>
    <w:rsid w:val="001135DA"/>
    <w:rsid w:val="00113CFE"/>
    <w:rsid w:val="00113D5F"/>
    <w:rsid w:val="00113EC6"/>
    <w:rsid w:val="00114860"/>
    <w:rsid w:val="001149C4"/>
    <w:rsid w:val="00114EEF"/>
    <w:rsid w:val="00121258"/>
    <w:rsid w:val="00121455"/>
    <w:rsid w:val="00123203"/>
    <w:rsid w:val="00123E6D"/>
    <w:rsid w:val="001243C1"/>
    <w:rsid w:val="0012498A"/>
    <w:rsid w:val="001258AA"/>
    <w:rsid w:val="00125D9F"/>
    <w:rsid w:val="00125EBD"/>
    <w:rsid w:val="00126765"/>
    <w:rsid w:val="001268F0"/>
    <w:rsid w:val="00126FDE"/>
    <w:rsid w:val="001274E7"/>
    <w:rsid w:val="00132163"/>
    <w:rsid w:val="00133365"/>
    <w:rsid w:val="00133831"/>
    <w:rsid w:val="001343FC"/>
    <w:rsid w:val="00135F3E"/>
    <w:rsid w:val="001369B7"/>
    <w:rsid w:val="00140579"/>
    <w:rsid w:val="00141826"/>
    <w:rsid w:val="001423B8"/>
    <w:rsid w:val="0014248F"/>
    <w:rsid w:val="00143B8E"/>
    <w:rsid w:val="00145536"/>
    <w:rsid w:val="00146461"/>
    <w:rsid w:val="001471FE"/>
    <w:rsid w:val="0014742E"/>
    <w:rsid w:val="00147C86"/>
    <w:rsid w:val="00150053"/>
    <w:rsid w:val="001503B3"/>
    <w:rsid w:val="00152E0F"/>
    <w:rsid w:val="0015330E"/>
    <w:rsid w:val="00153D34"/>
    <w:rsid w:val="00154867"/>
    <w:rsid w:val="00154AE1"/>
    <w:rsid w:val="00154EEF"/>
    <w:rsid w:val="00156073"/>
    <w:rsid w:val="00156242"/>
    <w:rsid w:val="0015768C"/>
    <w:rsid w:val="001579BA"/>
    <w:rsid w:val="00157A15"/>
    <w:rsid w:val="00157F87"/>
    <w:rsid w:val="001606EE"/>
    <w:rsid w:val="001619D0"/>
    <w:rsid w:val="00163611"/>
    <w:rsid w:val="001651F2"/>
    <w:rsid w:val="00165670"/>
    <w:rsid w:val="00166204"/>
    <w:rsid w:val="001705C4"/>
    <w:rsid w:val="0017141A"/>
    <w:rsid w:val="001720B1"/>
    <w:rsid w:val="001732A3"/>
    <w:rsid w:val="00173756"/>
    <w:rsid w:val="001739FB"/>
    <w:rsid w:val="00173BB6"/>
    <w:rsid w:val="00173BC3"/>
    <w:rsid w:val="00175C6B"/>
    <w:rsid w:val="00177C15"/>
    <w:rsid w:val="001802AE"/>
    <w:rsid w:val="001806C2"/>
    <w:rsid w:val="00180DED"/>
    <w:rsid w:val="00181883"/>
    <w:rsid w:val="0018221D"/>
    <w:rsid w:val="001824CA"/>
    <w:rsid w:val="00182FA9"/>
    <w:rsid w:val="0018497A"/>
    <w:rsid w:val="00184D81"/>
    <w:rsid w:val="0018553D"/>
    <w:rsid w:val="00185F3A"/>
    <w:rsid w:val="0018684E"/>
    <w:rsid w:val="001871A7"/>
    <w:rsid w:val="0019178D"/>
    <w:rsid w:val="00191E81"/>
    <w:rsid w:val="0019286A"/>
    <w:rsid w:val="00192A0B"/>
    <w:rsid w:val="0019422B"/>
    <w:rsid w:val="001944C0"/>
    <w:rsid w:val="00194D95"/>
    <w:rsid w:val="00195413"/>
    <w:rsid w:val="001958F8"/>
    <w:rsid w:val="0019640D"/>
    <w:rsid w:val="00196C71"/>
    <w:rsid w:val="0019778B"/>
    <w:rsid w:val="00197E76"/>
    <w:rsid w:val="001A0778"/>
    <w:rsid w:val="001A0CB6"/>
    <w:rsid w:val="001A4A5A"/>
    <w:rsid w:val="001A4B58"/>
    <w:rsid w:val="001A645B"/>
    <w:rsid w:val="001A7008"/>
    <w:rsid w:val="001A7953"/>
    <w:rsid w:val="001A7D12"/>
    <w:rsid w:val="001A7D23"/>
    <w:rsid w:val="001A7D32"/>
    <w:rsid w:val="001B04CB"/>
    <w:rsid w:val="001B07FD"/>
    <w:rsid w:val="001B216F"/>
    <w:rsid w:val="001B25DD"/>
    <w:rsid w:val="001B29F2"/>
    <w:rsid w:val="001B31FD"/>
    <w:rsid w:val="001B4B70"/>
    <w:rsid w:val="001B5765"/>
    <w:rsid w:val="001B5AE2"/>
    <w:rsid w:val="001B6727"/>
    <w:rsid w:val="001B6C31"/>
    <w:rsid w:val="001B6F23"/>
    <w:rsid w:val="001B7A84"/>
    <w:rsid w:val="001C00E7"/>
    <w:rsid w:val="001C0AFB"/>
    <w:rsid w:val="001C0EFF"/>
    <w:rsid w:val="001C12D1"/>
    <w:rsid w:val="001C18C8"/>
    <w:rsid w:val="001C3C7B"/>
    <w:rsid w:val="001C4537"/>
    <w:rsid w:val="001C4613"/>
    <w:rsid w:val="001C4FD6"/>
    <w:rsid w:val="001C56B3"/>
    <w:rsid w:val="001C5DB7"/>
    <w:rsid w:val="001C711E"/>
    <w:rsid w:val="001C735E"/>
    <w:rsid w:val="001C743C"/>
    <w:rsid w:val="001C7BA0"/>
    <w:rsid w:val="001D1968"/>
    <w:rsid w:val="001D1E35"/>
    <w:rsid w:val="001D27DA"/>
    <w:rsid w:val="001D2D75"/>
    <w:rsid w:val="001D2DA6"/>
    <w:rsid w:val="001D2E18"/>
    <w:rsid w:val="001D36ED"/>
    <w:rsid w:val="001D377C"/>
    <w:rsid w:val="001D52E4"/>
    <w:rsid w:val="001D5BA2"/>
    <w:rsid w:val="001D6A51"/>
    <w:rsid w:val="001E01E0"/>
    <w:rsid w:val="001E0698"/>
    <w:rsid w:val="001E10E1"/>
    <w:rsid w:val="001E145A"/>
    <w:rsid w:val="001E186C"/>
    <w:rsid w:val="001E18D9"/>
    <w:rsid w:val="001E199F"/>
    <w:rsid w:val="001E1B76"/>
    <w:rsid w:val="001E29B8"/>
    <w:rsid w:val="001E4071"/>
    <w:rsid w:val="001E5CA3"/>
    <w:rsid w:val="001E5CC5"/>
    <w:rsid w:val="001E6AD4"/>
    <w:rsid w:val="001E6E74"/>
    <w:rsid w:val="001E7D62"/>
    <w:rsid w:val="001F0B5D"/>
    <w:rsid w:val="001F10FB"/>
    <w:rsid w:val="001F1302"/>
    <w:rsid w:val="001F2294"/>
    <w:rsid w:val="001F3915"/>
    <w:rsid w:val="001F3EA3"/>
    <w:rsid w:val="001F4013"/>
    <w:rsid w:val="001F538B"/>
    <w:rsid w:val="001F6EDA"/>
    <w:rsid w:val="00201E90"/>
    <w:rsid w:val="0020306C"/>
    <w:rsid w:val="0020479C"/>
    <w:rsid w:val="00205BF0"/>
    <w:rsid w:val="00205E9E"/>
    <w:rsid w:val="00206A9C"/>
    <w:rsid w:val="00206F9A"/>
    <w:rsid w:val="00212316"/>
    <w:rsid w:val="00212F2E"/>
    <w:rsid w:val="00213EE0"/>
    <w:rsid w:val="002140B1"/>
    <w:rsid w:val="0021410B"/>
    <w:rsid w:val="002145A6"/>
    <w:rsid w:val="00215955"/>
    <w:rsid w:val="0021635B"/>
    <w:rsid w:val="002164C3"/>
    <w:rsid w:val="00220493"/>
    <w:rsid w:val="002207BF"/>
    <w:rsid w:val="002220BC"/>
    <w:rsid w:val="00222577"/>
    <w:rsid w:val="00222873"/>
    <w:rsid w:val="00223729"/>
    <w:rsid w:val="00223835"/>
    <w:rsid w:val="00223A8F"/>
    <w:rsid w:val="00223C80"/>
    <w:rsid w:val="00225862"/>
    <w:rsid w:val="00225A54"/>
    <w:rsid w:val="00225F94"/>
    <w:rsid w:val="00226CD3"/>
    <w:rsid w:val="00230207"/>
    <w:rsid w:val="0023061C"/>
    <w:rsid w:val="00230B93"/>
    <w:rsid w:val="002310EB"/>
    <w:rsid w:val="002318C6"/>
    <w:rsid w:val="00232964"/>
    <w:rsid w:val="00232FEA"/>
    <w:rsid w:val="0023356A"/>
    <w:rsid w:val="002336F0"/>
    <w:rsid w:val="0023391A"/>
    <w:rsid w:val="00234173"/>
    <w:rsid w:val="00234411"/>
    <w:rsid w:val="002353C0"/>
    <w:rsid w:val="002377AF"/>
    <w:rsid w:val="00237EF5"/>
    <w:rsid w:val="00240374"/>
    <w:rsid w:val="0024081D"/>
    <w:rsid w:val="0024224E"/>
    <w:rsid w:val="00243F35"/>
    <w:rsid w:val="00244ACE"/>
    <w:rsid w:val="0024567E"/>
    <w:rsid w:val="00246117"/>
    <w:rsid w:val="00246392"/>
    <w:rsid w:val="0024661B"/>
    <w:rsid w:val="00246889"/>
    <w:rsid w:val="00250015"/>
    <w:rsid w:val="0025039E"/>
    <w:rsid w:val="00250F60"/>
    <w:rsid w:val="002521E8"/>
    <w:rsid w:val="002541A2"/>
    <w:rsid w:val="00254267"/>
    <w:rsid w:val="0025542D"/>
    <w:rsid w:val="00255929"/>
    <w:rsid w:val="002559F1"/>
    <w:rsid w:val="00257989"/>
    <w:rsid w:val="00257E5A"/>
    <w:rsid w:val="0026081C"/>
    <w:rsid w:val="00260C5E"/>
    <w:rsid w:val="00262AD4"/>
    <w:rsid w:val="002631B3"/>
    <w:rsid w:val="002633E3"/>
    <w:rsid w:val="00264749"/>
    <w:rsid w:val="002647DA"/>
    <w:rsid w:val="00265BCE"/>
    <w:rsid w:val="002663F7"/>
    <w:rsid w:val="00267CCC"/>
    <w:rsid w:val="0027094E"/>
    <w:rsid w:val="00270C08"/>
    <w:rsid w:val="00272498"/>
    <w:rsid w:val="002728D1"/>
    <w:rsid w:val="002731E1"/>
    <w:rsid w:val="002738BC"/>
    <w:rsid w:val="00273FC6"/>
    <w:rsid w:val="00275700"/>
    <w:rsid w:val="00276CEE"/>
    <w:rsid w:val="002777E7"/>
    <w:rsid w:val="00277A50"/>
    <w:rsid w:val="00277B30"/>
    <w:rsid w:val="00277CA8"/>
    <w:rsid w:val="00280457"/>
    <w:rsid w:val="002805CE"/>
    <w:rsid w:val="00280A7E"/>
    <w:rsid w:val="00281004"/>
    <w:rsid w:val="00281B80"/>
    <w:rsid w:val="00282235"/>
    <w:rsid w:val="002822F0"/>
    <w:rsid w:val="00282924"/>
    <w:rsid w:val="002848AA"/>
    <w:rsid w:val="00284F13"/>
    <w:rsid w:val="00287460"/>
    <w:rsid w:val="00290080"/>
    <w:rsid w:val="0029101D"/>
    <w:rsid w:val="00291291"/>
    <w:rsid w:val="00291AE4"/>
    <w:rsid w:val="00293589"/>
    <w:rsid w:val="00293F3D"/>
    <w:rsid w:val="002947BD"/>
    <w:rsid w:val="00294843"/>
    <w:rsid w:val="00295439"/>
    <w:rsid w:val="00295A06"/>
    <w:rsid w:val="00296407"/>
    <w:rsid w:val="00297F59"/>
    <w:rsid w:val="002A0634"/>
    <w:rsid w:val="002A1322"/>
    <w:rsid w:val="002A1E52"/>
    <w:rsid w:val="002A2346"/>
    <w:rsid w:val="002A23E5"/>
    <w:rsid w:val="002A23F5"/>
    <w:rsid w:val="002A326B"/>
    <w:rsid w:val="002A3FFC"/>
    <w:rsid w:val="002A4702"/>
    <w:rsid w:val="002A70BF"/>
    <w:rsid w:val="002A71A4"/>
    <w:rsid w:val="002A739D"/>
    <w:rsid w:val="002A7C27"/>
    <w:rsid w:val="002A7F8D"/>
    <w:rsid w:val="002B09C5"/>
    <w:rsid w:val="002B15FB"/>
    <w:rsid w:val="002B1CBF"/>
    <w:rsid w:val="002B242D"/>
    <w:rsid w:val="002B2FA9"/>
    <w:rsid w:val="002B3DA3"/>
    <w:rsid w:val="002B4F7F"/>
    <w:rsid w:val="002B51EB"/>
    <w:rsid w:val="002C02FA"/>
    <w:rsid w:val="002C0B88"/>
    <w:rsid w:val="002C0C44"/>
    <w:rsid w:val="002C0E9D"/>
    <w:rsid w:val="002C1474"/>
    <w:rsid w:val="002C1EF8"/>
    <w:rsid w:val="002C252E"/>
    <w:rsid w:val="002C29B2"/>
    <w:rsid w:val="002C3CFB"/>
    <w:rsid w:val="002C555D"/>
    <w:rsid w:val="002C623A"/>
    <w:rsid w:val="002C63D3"/>
    <w:rsid w:val="002C6452"/>
    <w:rsid w:val="002C716F"/>
    <w:rsid w:val="002D00C9"/>
    <w:rsid w:val="002D16AF"/>
    <w:rsid w:val="002D17C9"/>
    <w:rsid w:val="002D1D14"/>
    <w:rsid w:val="002D1F64"/>
    <w:rsid w:val="002D20E2"/>
    <w:rsid w:val="002D26FC"/>
    <w:rsid w:val="002D2766"/>
    <w:rsid w:val="002D27EA"/>
    <w:rsid w:val="002D2D8D"/>
    <w:rsid w:val="002D37F2"/>
    <w:rsid w:val="002D3D69"/>
    <w:rsid w:val="002D79A9"/>
    <w:rsid w:val="002E287F"/>
    <w:rsid w:val="002E41F9"/>
    <w:rsid w:val="002E4A87"/>
    <w:rsid w:val="002E4ECF"/>
    <w:rsid w:val="002E4F0D"/>
    <w:rsid w:val="002E50BE"/>
    <w:rsid w:val="002E5778"/>
    <w:rsid w:val="002E6C9B"/>
    <w:rsid w:val="002E78EC"/>
    <w:rsid w:val="002F0CF7"/>
    <w:rsid w:val="002F113F"/>
    <w:rsid w:val="002F3A55"/>
    <w:rsid w:val="002F3F7F"/>
    <w:rsid w:val="002F4092"/>
    <w:rsid w:val="002F4A4C"/>
    <w:rsid w:val="002F5619"/>
    <w:rsid w:val="002F56AE"/>
    <w:rsid w:val="002F6209"/>
    <w:rsid w:val="002F6FCF"/>
    <w:rsid w:val="002F7868"/>
    <w:rsid w:val="002F7C94"/>
    <w:rsid w:val="00301353"/>
    <w:rsid w:val="003014D9"/>
    <w:rsid w:val="00301B47"/>
    <w:rsid w:val="003020DB"/>
    <w:rsid w:val="0030219E"/>
    <w:rsid w:val="00302E90"/>
    <w:rsid w:val="003039D0"/>
    <w:rsid w:val="00303C1A"/>
    <w:rsid w:val="00304236"/>
    <w:rsid w:val="003053B4"/>
    <w:rsid w:val="00306787"/>
    <w:rsid w:val="00306A47"/>
    <w:rsid w:val="00306C02"/>
    <w:rsid w:val="00306D03"/>
    <w:rsid w:val="00306E2D"/>
    <w:rsid w:val="003074BA"/>
    <w:rsid w:val="00307E6E"/>
    <w:rsid w:val="00307ED8"/>
    <w:rsid w:val="00307F95"/>
    <w:rsid w:val="003104FE"/>
    <w:rsid w:val="00311138"/>
    <w:rsid w:val="003113D9"/>
    <w:rsid w:val="003114D6"/>
    <w:rsid w:val="003117B0"/>
    <w:rsid w:val="00312480"/>
    <w:rsid w:val="003159AA"/>
    <w:rsid w:val="00315C87"/>
    <w:rsid w:val="00317290"/>
    <w:rsid w:val="003201D9"/>
    <w:rsid w:val="003218CE"/>
    <w:rsid w:val="00321B0B"/>
    <w:rsid w:val="003228A3"/>
    <w:rsid w:val="00323019"/>
    <w:rsid w:val="00323E8C"/>
    <w:rsid w:val="00323FE4"/>
    <w:rsid w:val="00324515"/>
    <w:rsid w:val="00324534"/>
    <w:rsid w:val="00324C8C"/>
    <w:rsid w:val="00327BC9"/>
    <w:rsid w:val="003306CB"/>
    <w:rsid w:val="0033213F"/>
    <w:rsid w:val="003322D5"/>
    <w:rsid w:val="0033276A"/>
    <w:rsid w:val="00332E9B"/>
    <w:rsid w:val="00333AC4"/>
    <w:rsid w:val="00333F39"/>
    <w:rsid w:val="0033495F"/>
    <w:rsid w:val="00335219"/>
    <w:rsid w:val="00335294"/>
    <w:rsid w:val="00336912"/>
    <w:rsid w:val="00336A39"/>
    <w:rsid w:val="00337716"/>
    <w:rsid w:val="00337D3A"/>
    <w:rsid w:val="003401F9"/>
    <w:rsid w:val="003409D1"/>
    <w:rsid w:val="00340FFE"/>
    <w:rsid w:val="00342713"/>
    <w:rsid w:val="003431E9"/>
    <w:rsid w:val="00344B3B"/>
    <w:rsid w:val="00344B4B"/>
    <w:rsid w:val="00345D51"/>
    <w:rsid w:val="00345FF3"/>
    <w:rsid w:val="003460D5"/>
    <w:rsid w:val="003460EB"/>
    <w:rsid w:val="00346919"/>
    <w:rsid w:val="00346C1E"/>
    <w:rsid w:val="003474EB"/>
    <w:rsid w:val="00350BE9"/>
    <w:rsid w:val="00351153"/>
    <w:rsid w:val="003516EE"/>
    <w:rsid w:val="00351733"/>
    <w:rsid w:val="00351998"/>
    <w:rsid w:val="00351B27"/>
    <w:rsid w:val="003530C0"/>
    <w:rsid w:val="00354E85"/>
    <w:rsid w:val="00355AE1"/>
    <w:rsid w:val="00355F5D"/>
    <w:rsid w:val="00356508"/>
    <w:rsid w:val="00356A3B"/>
    <w:rsid w:val="0035710C"/>
    <w:rsid w:val="003575CF"/>
    <w:rsid w:val="003579B9"/>
    <w:rsid w:val="00360E15"/>
    <w:rsid w:val="003618BC"/>
    <w:rsid w:val="0036232F"/>
    <w:rsid w:val="00364375"/>
    <w:rsid w:val="003647F9"/>
    <w:rsid w:val="00364CB9"/>
    <w:rsid w:val="003659A5"/>
    <w:rsid w:val="00365B5A"/>
    <w:rsid w:val="00370593"/>
    <w:rsid w:val="0037069D"/>
    <w:rsid w:val="0037109A"/>
    <w:rsid w:val="003715DA"/>
    <w:rsid w:val="00371A0B"/>
    <w:rsid w:val="00372BA2"/>
    <w:rsid w:val="0037349F"/>
    <w:rsid w:val="00373725"/>
    <w:rsid w:val="00373BEE"/>
    <w:rsid w:val="00374641"/>
    <w:rsid w:val="00374C11"/>
    <w:rsid w:val="00375924"/>
    <w:rsid w:val="00375B57"/>
    <w:rsid w:val="003762C4"/>
    <w:rsid w:val="00376AD1"/>
    <w:rsid w:val="003800F2"/>
    <w:rsid w:val="003811CD"/>
    <w:rsid w:val="003819DE"/>
    <w:rsid w:val="003825FC"/>
    <w:rsid w:val="0038426C"/>
    <w:rsid w:val="003848F9"/>
    <w:rsid w:val="00384A15"/>
    <w:rsid w:val="00384FFF"/>
    <w:rsid w:val="0038544B"/>
    <w:rsid w:val="003866B5"/>
    <w:rsid w:val="00391119"/>
    <w:rsid w:val="0039234B"/>
    <w:rsid w:val="003926B4"/>
    <w:rsid w:val="00392D84"/>
    <w:rsid w:val="00393158"/>
    <w:rsid w:val="0039379E"/>
    <w:rsid w:val="00395330"/>
    <w:rsid w:val="003960CC"/>
    <w:rsid w:val="00397C7C"/>
    <w:rsid w:val="003A06CB"/>
    <w:rsid w:val="003A10C6"/>
    <w:rsid w:val="003A1239"/>
    <w:rsid w:val="003A13D1"/>
    <w:rsid w:val="003A1425"/>
    <w:rsid w:val="003A1537"/>
    <w:rsid w:val="003A1B76"/>
    <w:rsid w:val="003A2E0F"/>
    <w:rsid w:val="003A2E30"/>
    <w:rsid w:val="003A4B5E"/>
    <w:rsid w:val="003A59BA"/>
    <w:rsid w:val="003A6451"/>
    <w:rsid w:val="003A768A"/>
    <w:rsid w:val="003B099C"/>
    <w:rsid w:val="003B13E5"/>
    <w:rsid w:val="003B1809"/>
    <w:rsid w:val="003B1FE8"/>
    <w:rsid w:val="003B2B72"/>
    <w:rsid w:val="003B2EC8"/>
    <w:rsid w:val="003B3C70"/>
    <w:rsid w:val="003B3D11"/>
    <w:rsid w:val="003B6072"/>
    <w:rsid w:val="003B60CD"/>
    <w:rsid w:val="003C0853"/>
    <w:rsid w:val="003C0F81"/>
    <w:rsid w:val="003C0FB1"/>
    <w:rsid w:val="003C0FB7"/>
    <w:rsid w:val="003C175B"/>
    <w:rsid w:val="003C29D4"/>
    <w:rsid w:val="003C48E3"/>
    <w:rsid w:val="003C4EB6"/>
    <w:rsid w:val="003C78D2"/>
    <w:rsid w:val="003D10CF"/>
    <w:rsid w:val="003D1275"/>
    <w:rsid w:val="003D2EA9"/>
    <w:rsid w:val="003D3616"/>
    <w:rsid w:val="003D3A24"/>
    <w:rsid w:val="003D56A3"/>
    <w:rsid w:val="003D6D27"/>
    <w:rsid w:val="003D70CC"/>
    <w:rsid w:val="003D71F8"/>
    <w:rsid w:val="003E0602"/>
    <w:rsid w:val="003E0757"/>
    <w:rsid w:val="003E1601"/>
    <w:rsid w:val="003E22F1"/>
    <w:rsid w:val="003E2434"/>
    <w:rsid w:val="003E2C32"/>
    <w:rsid w:val="003E2E0D"/>
    <w:rsid w:val="003E3B78"/>
    <w:rsid w:val="003E4662"/>
    <w:rsid w:val="003E4C0E"/>
    <w:rsid w:val="003E4C1F"/>
    <w:rsid w:val="003E4D4D"/>
    <w:rsid w:val="003E4D5E"/>
    <w:rsid w:val="003E4EC8"/>
    <w:rsid w:val="003E55B6"/>
    <w:rsid w:val="003E7B9D"/>
    <w:rsid w:val="003F00EB"/>
    <w:rsid w:val="003F1656"/>
    <w:rsid w:val="003F46F9"/>
    <w:rsid w:val="003F5464"/>
    <w:rsid w:val="003F6821"/>
    <w:rsid w:val="003F74AD"/>
    <w:rsid w:val="003F7F60"/>
    <w:rsid w:val="00400340"/>
    <w:rsid w:val="0040084A"/>
    <w:rsid w:val="004011D2"/>
    <w:rsid w:val="00401750"/>
    <w:rsid w:val="00401BE2"/>
    <w:rsid w:val="00402CD8"/>
    <w:rsid w:val="00402F38"/>
    <w:rsid w:val="00403147"/>
    <w:rsid w:val="004034F5"/>
    <w:rsid w:val="00404011"/>
    <w:rsid w:val="00404282"/>
    <w:rsid w:val="0040571F"/>
    <w:rsid w:val="00405B89"/>
    <w:rsid w:val="00405E25"/>
    <w:rsid w:val="00406B0B"/>
    <w:rsid w:val="00407413"/>
    <w:rsid w:val="00407F06"/>
    <w:rsid w:val="00407F62"/>
    <w:rsid w:val="00410124"/>
    <w:rsid w:val="00411662"/>
    <w:rsid w:val="004125E1"/>
    <w:rsid w:val="00412688"/>
    <w:rsid w:val="00412B0B"/>
    <w:rsid w:val="00412F98"/>
    <w:rsid w:val="00413056"/>
    <w:rsid w:val="004135FE"/>
    <w:rsid w:val="00413938"/>
    <w:rsid w:val="004145AC"/>
    <w:rsid w:val="0041532F"/>
    <w:rsid w:val="00415D16"/>
    <w:rsid w:val="00415D46"/>
    <w:rsid w:val="004164BA"/>
    <w:rsid w:val="0041714C"/>
    <w:rsid w:val="004172F6"/>
    <w:rsid w:val="00417F9E"/>
    <w:rsid w:val="00420ECA"/>
    <w:rsid w:val="004210F5"/>
    <w:rsid w:val="00421A1F"/>
    <w:rsid w:val="00421D76"/>
    <w:rsid w:val="00421EA2"/>
    <w:rsid w:val="0042326C"/>
    <w:rsid w:val="00425513"/>
    <w:rsid w:val="00426D41"/>
    <w:rsid w:val="00426D51"/>
    <w:rsid w:val="004273B0"/>
    <w:rsid w:val="00427643"/>
    <w:rsid w:val="00430277"/>
    <w:rsid w:val="0043295E"/>
    <w:rsid w:val="004329F2"/>
    <w:rsid w:val="00432D36"/>
    <w:rsid w:val="00433376"/>
    <w:rsid w:val="004359B5"/>
    <w:rsid w:val="004366E7"/>
    <w:rsid w:val="004368C9"/>
    <w:rsid w:val="00437018"/>
    <w:rsid w:val="004408F5"/>
    <w:rsid w:val="00442283"/>
    <w:rsid w:val="00442696"/>
    <w:rsid w:val="00442703"/>
    <w:rsid w:val="00445264"/>
    <w:rsid w:val="004454BD"/>
    <w:rsid w:val="00445A22"/>
    <w:rsid w:val="00446038"/>
    <w:rsid w:val="00446AE4"/>
    <w:rsid w:val="00447589"/>
    <w:rsid w:val="00447A13"/>
    <w:rsid w:val="00450952"/>
    <w:rsid w:val="00450A5A"/>
    <w:rsid w:val="00450E89"/>
    <w:rsid w:val="00451DC5"/>
    <w:rsid w:val="00452668"/>
    <w:rsid w:val="00452AD8"/>
    <w:rsid w:val="004534C9"/>
    <w:rsid w:val="0045499C"/>
    <w:rsid w:val="004553DB"/>
    <w:rsid w:val="0045672B"/>
    <w:rsid w:val="004579EE"/>
    <w:rsid w:val="0046035D"/>
    <w:rsid w:val="00461153"/>
    <w:rsid w:val="00462BA5"/>
    <w:rsid w:val="00463CEB"/>
    <w:rsid w:val="00463F25"/>
    <w:rsid w:val="0046479F"/>
    <w:rsid w:val="00465969"/>
    <w:rsid w:val="00465C2E"/>
    <w:rsid w:val="0046609A"/>
    <w:rsid w:val="00466A6B"/>
    <w:rsid w:val="00466C47"/>
    <w:rsid w:val="00466E69"/>
    <w:rsid w:val="00466FE3"/>
    <w:rsid w:val="00467765"/>
    <w:rsid w:val="00470530"/>
    <w:rsid w:val="00470DEB"/>
    <w:rsid w:val="00471198"/>
    <w:rsid w:val="0047132A"/>
    <w:rsid w:val="00471CA5"/>
    <w:rsid w:val="0047287A"/>
    <w:rsid w:val="0047300C"/>
    <w:rsid w:val="00473CE6"/>
    <w:rsid w:val="00474810"/>
    <w:rsid w:val="0047483A"/>
    <w:rsid w:val="00475257"/>
    <w:rsid w:val="004752E1"/>
    <w:rsid w:val="00475868"/>
    <w:rsid w:val="0047640A"/>
    <w:rsid w:val="004765BA"/>
    <w:rsid w:val="00481DFB"/>
    <w:rsid w:val="00482E6C"/>
    <w:rsid w:val="00482F14"/>
    <w:rsid w:val="004836FB"/>
    <w:rsid w:val="00484C03"/>
    <w:rsid w:val="004860CE"/>
    <w:rsid w:val="004861E3"/>
    <w:rsid w:val="00486916"/>
    <w:rsid w:val="004877C2"/>
    <w:rsid w:val="00490344"/>
    <w:rsid w:val="004903FB"/>
    <w:rsid w:val="004917C1"/>
    <w:rsid w:val="00492672"/>
    <w:rsid w:val="00493C7F"/>
    <w:rsid w:val="00494F52"/>
    <w:rsid w:val="00495099"/>
    <w:rsid w:val="004960BE"/>
    <w:rsid w:val="0049652F"/>
    <w:rsid w:val="00497221"/>
    <w:rsid w:val="004973E2"/>
    <w:rsid w:val="004975D4"/>
    <w:rsid w:val="00497C31"/>
    <w:rsid w:val="004A2A0E"/>
    <w:rsid w:val="004A321E"/>
    <w:rsid w:val="004A4B6F"/>
    <w:rsid w:val="004A4B81"/>
    <w:rsid w:val="004A4D41"/>
    <w:rsid w:val="004A4DD1"/>
    <w:rsid w:val="004A4FE7"/>
    <w:rsid w:val="004A50CD"/>
    <w:rsid w:val="004A5BA2"/>
    <w:rsid w:val="004A685F"/>
    <w:rsid w:val="004B03C4"/>
    <w:rsid w:val="004B15D0"/>
    <w:rsid w:val="004B28C2"/>
    <w:rsid w:val="004B455B"/>
    <w:rsid w:val="004B456A"/>
    <w:rsid w:val="004B4A9B"/>
    <w:rsid w:val="004B75E4"/>
    <w:rsid w:val="004B7EE8"/>
    <w:rsid w:val="004C2009"/>
    <w:rsid w:val="004C24AC"/>
    <w:rsid w:val="004C36F9"/>
    <w:rsid w:val="004C75CC"/>
    <w:rsid w:val="004C76B3"/>
    <w:rsid w:val="004D0089"/>
    <w:rsid w:val="004D26EA"/>
    <w:rsid w:val="004D2FDF"/>
    <w:rsid w:val="004D311D"/>
    <w:rsid w:val="004D3E0E"/>
    <w:rsid w:val="004D5B2C"/>
    <w:rsid w:val="004D5E46"/>
    <w:rsid w:val="004D6732"/>
    <w:rsid w:val="004D6B17"/>
    <w:rsid w:val="004D7C5C"/>
    <w:rsid w:val="004D7E30"/>
    <w:rsid w:val="004D7EFD"/>
    <w:rsid w:val="004E1B47"/>
    <w:rsid w:val="004E24C6"/>
    <w:rsid w:val="004E2D0F"/>
    <w:rsid w:val="004E46F0"/>
    <w:rsid w:val="004E53A5"/>
    <w:rsid w:val="004E770C"/>
    <w:rsid w:val="004F0255"/>
    <w:rsid w:val="004F0B22"/>
    <w:rsid w:val="004F11ED"/>
    <w:rsid w:val="004F26B2"/>
    <w:rsid w:val="004F3C8C"/>
    <w:rsid w:val="004F52C6"/>
    <w:rsid w:val="004F5ED5"/>
    <w:rsid w:val="004F6133"/>
    <w:rsid w:val="004F6500"/>
    <w:rsid w:val="004F6A21"/>
    <w:rsid w:val="004F6F81"/>
    <w:rsid w:val="004F7393"/>
    <w:rsid w:val="004F7CD3"/>
    <w:rsid w:val="005010C4"/>
    <w:rsid w:val="0050181D"/>
    <w:rsid w:val="00502B01"/>
    <w:rsid w:val="00502F44"/>
    <w:rsid w:val="00503612"/>
    <w:rsid w:val="00504A32"/>
    <w:rsid w:val="0050541B"/>
    <w:rsid w:val="00506409"/>
    <w:rsid w:val="00506767"/>
    <w:rsid w:val="00506E6D"/>
    <w:rsid w:val="00507FCC"/>
    <w:rsid w:val="00510D9E"/>
    <w:rsid w:val="005110FE"/>
    <w:rsid w:val="00511C62"/>
    <w:rsid w:val="00512E08"/>
    <w:rsid w:val="00512F74"/>
    <w:rsid w:val="00513CA4"/>
    <w:rsid w:val="00514707"/>
    <w:rsid w:val="00515C11"/>
    <w:rsid w:val="00516D9F"/>
    <w:rsid w:val="00517B9D"/>
    <w:rsid w:val="00521A51"/>
    <w:rsid w:val="005230ED"/>
    <w:rsid w:val="00523454"/>
    <w:rsid w:val="005237DB"/>
    <w:rsid w:val="00523994"/>
    <w:rsid w:val="00524401"/>
    <w:rsid w:val="005245F2"/>
    <w:rsid w:val="0052591B"/>
    <w:rsid w:val="00525CF5"/>
    <w:rsid w:val="00527491"/>
    <w:rsid w:val="00527840"/>
    <w:rsid w:val="00527C77"/>
    <w:rsid w:val="00527D18"/>
    <w:rsid w:val="0053006F"/>
    <w:rsid w:val="00530182"/>
    <w:rsid w:val="005305E0"/>
    <w:rsid w:val="00530AFA"/>
    <w:rsid w:val="0053128F"/>
    <w:rsid w:val="00531861"/>
    <w:rsid w:val="005324C3"/>
    <w:rsid w:val="005327A0"/>
    <w:rsid w:val="00532B1E"/>
    <w:rsid w:val="00532F5F"/>
    <w:rsid w:val="00533014"/>
    <w:rsid w:val="00533052"/>
    <w:rsid w:val="0053309B"/>
    <w:rsid w:val="00533E62"/>
    <w:rsid w:val="00534423"/>
    <w:rsid w:val="0053443C"/>
    <w:rsid w:val="005350C4"/>
    <w:rsid w:val="005357A2"/>
    <w:rsid w:val="005360FF"/>
    <w:rsid w:val="00536918"/>
    <w:rsid w:val="005377F5"/>
    <w:rsid w:val="005378F5"/>
    <w:rsid w:val="0054097B"/>
    <w:rsid w:val="0054138E"/>
    <w:rsid w:val="00541609"/>
    <w:rsid w:val="0054208B"/>
    <w:rsid w:val="00542A7F"/>
    <w:rsid w:val="00542B88"/>
    <w:rsid w:val="005431AC"/>
    <w:rsid w:val="005432F0"/>
    <w:rsid w:val="005442B1"/>
    <w:rsid w:val="00544DDC"/>
    <w:rsid w:val="005451A4"/>
    <w:rsid w:val="00545B32"/>
    <w:rsid w:val="00546454"/>
    <w:rsid w:val="00546B0D"/>
    <w:rsid w:val="00546FA0"/>
    <w:rsid w:val="00551BE6"/>
    <w:rsid w:val="005533F0"/>
    <w:rsid w:val="0055347F"/>
    <w:rsid w:val="005536B2"/>
    <w:rsid w:val="0055461F"/>
    <w:rsid w:val="00555D7F"/>
    <w:rsid w:val="00555D81"/>
    <w:rsid w:val="005569E4"/>
    <w:rsid w:val="00557418"/>
    <w:rsid w:val="00560E82"/>
    <w:rsid w:val="005610A9"/>
    <w:rsid w:val="00562287"/>
    <w:rsid w:val="0056231D"/>
    <w:rsid w:val="005628A9"/>
    <w:rsid w:val="0056388B"/>
    <w:rsid w:val="00564CCE"/>
    <w:rsid w:val="00564E5F"/>
    <w:rsid w:val="00565B78"/>
    <w:rsid w:val="0056644D"/>
    <w:rsid w:val="005664CA"/>
    <w:rsid w:val="005738F2"/>
    <w:rsid w:val="00573EA1"/>
    <w:rsid w:val="00573F49"/>
    <w:rsid w:val="00574AA3"/>
    <w:rsid w:val="0057595C"/>
    <w:rsid w:val="00575AF3"/>
    <w:rsid w:val="00575E91"/>
    <w:rsid w:val="005763B3"/>
    <w:rsid w:val="00580124"/>
    <w:rsid w:val="005803EC"/>
    <w:rsid w:val="005811D8"/>
    <w:rsid w:val="00581409"/>
    <w:rsid w:val="00582088"/>
    <w:rsid w:val="005823A2"/>
    <w:rsid w:val="00582E19"/>
    <w:rsid w:val="00583E43"/>
    <w:rsid w:val="00584734"/>
    <w:rsid w:val="00584811"/>
    <w:rsid w:val="00584B65"/>
    <w:rsid w:val="0058622D"/>
    <w:rsid w:val="0058667F"/>
    <w:rsid w:val="00586BAB"/>
    <w:rsid w:val="00586D32"/>
    <w:rsid w:val="00590890"/>
    <w:rsid w:val="00591CE8"/>
    <w:rsid w:val="00592932"/>
    <w:rsid w:val="00593739"/>
    <w:rsid w:val="00593F42"/>
    <w:rsid w:val="005950A8"/>
    <w:rsid w:val="00595B26"/>
    <w:rsid w:val="00595B93"/>
    <w:rsid w:val="005A0CDA"/>
    <w:rsid w:val="005A1A97"/>
    <w:rsid w:val="005A215B"/>
    <w:rsid w:val="005A2D13"/>
    <w:rsid w:val="005A343D"/>
    <w:rsid w:val="005A3454"/>
    <w:rsid w:val="005A4153"/>
    <w:rsid w:val="005A48B8"/>
    <w:rsid w:val="005A50B4"/>
    <w:rsid w:val="005A5FE2"/>
    <w:rsid w:val="005A6B18"/>
    <w:rsid w:val="005A6B7C"/>
    <w:rsid w:val="005A6D81"/>
    <w:rsid w:val="005A795D"/>
    <w:rsid w:val="005A7B8C"/>
    <w:rsid w:val="005B06C8"/>
    <w:rsid w:val="005B0DBA"/>
    <w:rsid w:val="005B0F3E"/>
    <w:rsid w:val="005B2248"/>
    <w:rsid w:val="005B2997"/>
    <w:rsid w:val="005B2EE4"/>
    <w:rsid w:val="005B43DB"/>
    <w:rsid w:val="005B67FF"/>
    <w:rsid w:val="005B7208"/>
    <w:rsid w:val="005B7A65"/>
    <w:rsid w:val="005C04DA"/>
    <w:rsid w:val="005C1765"/>
    <w:rsid w:val="005C2BCF"/>
    <w:rsid w:val="005C2FE3"/>
    <w:rsid w:val="005C31F9"/>
    <w:rsid w:val="005C341E"/>
    <w:rsid w:val="005C43D5"/>
    <w:rsid w:val="005C5950"/>
    <w:rsid w:val="005C6200"/>
    <w:rsid w:val="005C639F"/>
    <w:rsid w:val="005C6D2C"/>
    <w:rsid w:val="005C7C97"/>
    <w:rsid w:val="005D0A32"/>
    <w:rsid w:val="005D1DE3"/>
    <w:rsid w:val="005D2313"/>
    <w:rsid w:val="005D26E7"/>
    <w:rsid w:val="005D2F5F"/>
    <w:rsid w:val="005D38DB"/>
    <w:rsid w:val="005D3FE3"/>
    <w:rsid w:val="005D5344"/>
    <w:rsid w:val="005D6576"/>
    <w:rsid w:val="005D6B95"/>
    <w:rsid w:val="005D702D"/>
    <w:rsid w:val="005E0943"/>
    <w:rsid w:val="005E1444"/>
    <w:rsid w:val="005E1A56"/>
    <w:rsid w:val="005E1B78"/>
    <w:rsid w:val="005E30C0"/>
    <w:rsid w:val="005E4446"/>
    <w:rsid w:val="005E52D4"/>
    <w:rsid w:val="005E652B"/>
    <w:rsid w:val="005E7448"/>
    <w:rsid w:val="005E7856"/>
    <w:rsid w:val="005E7955"/>
    <w:rsid w:val="005F19DC"/>
    <w:rsid w:val="005F208B"/>
    <w:rsid w:val="005F268D"/>
    <w:rsid w:val="005F2781"/>
    <w:rsid w:val="005F2C56"/>
    <w:rsid w:val="005F3258"/>
    <w:rsid w:val="005F335E"/>
    <w:rsid w:val="005F36FF"/>
    <w:rsid w:val="005F4AFF"/>
    <w:rsid w:val="005F5088"/>
    <w:rsid w:val="005F548F"/>
    <w:rsid w:val="005F6868"/>
    <w:rsid w:val="005F71C9"/>
    <w:rsid w:val="005F7B62"/>
    <w:rsid w:val="00600E05"/>
    <w:rsid w:val="00601819"/>
    <w:rsid w:val="00602889"/>
    <w:rsid w:val="0060295F"/>
    <w:rsid w:val="00602A77"/>
    <w:rsid w:val="00602E36"/>
    <w:rsid w:val="00605188"/>
    <w:rsid w:val="00605F59"/>
    <w:rsid w:val="0060685A"/>
    <w:rsid w:val="00606B3C"/>
    <w:rsid w:val="00606E70"/>
    <w:rsid w:val="006079FB"/>
    <w:rsid w:val="00607BA0"/>
    <w:rsid w:val="00607C89"/>
    <w:rsid w:val="006107C7"/>
    <w:rsid w:val="00610CE3"/>
    <w:rsid w:val="00611AA4"/>
    <w:rsid w:val="006120FB"/>
    <w:rsid w:val="00612710"/>
    <w:rsid w:val="00612F1B"/>
    <w:rsid w:val="00613BAC"/>
    <w:rsid w:val="0061411D"/>
    <w:rsid w:val="00614F76"/>
    <w:rsid w:val="006160CF"/>
    <w:rsid w:val="0061650C"/>
    <w:rsid w:val="00616955"/>
    <w:rsid w:val="006173B9"/>
    <w:rsid w:val="0061763B"/>
    <w:rsid w:val="00617C6A"/>
    <w:rsid w:val="0062003F"/>
    <w:rsid w:val="00620F67"/>
    <w:rsid w:val="00622960"/>
    <w:rsid w:val="00623FC5"/>
    <w:rsid w:val="00624884"/>
    <w:rsid w:val="00626796"/>
    <w:rsid w:val="00626843"/>
    <w:rsid w:val="0062691C"/>
    <w:rsid w:val="00626A1D"/>
    <w:rsid w:val="0062711E"/>
    <w:rsid w:val="00630B28"/>
    <w:rsid w:val="006332D6"/>
    <w:rsid w:val="006339E5"/>
    <w:rsid w:val="00633E51"/>
    <w:rsid w:val="00634827"/>
    <w:rsid w:val="00634C1A"/>
    <w:rsid w:val="006357F3"/>
    <w:rsid w:val="006359CD"/>
    <w:rsid w:val="006359DF"/>
    <w:rsid w:val="00635FA7"/>
    <w:rsid w:val="00636125"/>
    <w:rsid w:val="00636396"/>
    <w:rsid w:val="006366DC"/>
    <w:rsid w:val="00636F1D"/>
    <w:rsid w:val="006433BC"/>
    <w:rsid w:val="006439F1"/>
    <w:rsid w:val="00643A95"/>
    <w:rsid w:val="00643AAF"/>
    <w:rsid w:val="00645B0E"/>
    <w:rsid w:val="00646469"/>
    <w:rsid w:val="00647965"/>
    <w:rsid w:val="0065198B"/>
    <w:rsid w:val="00651F01"/>
    <w:rsid w:val="00652C05"/>
    <w:rsid w:val="00653352"/>
    <w:rsid w:val="006535D0"/>
    <w:rsid w:val="00655198"/>
    <w:rsid w:val="00655DED"/>
    <w:rsid w:val="00656C8C"/>
    <w:rsid w:val="00657831"/>
    <w:rsid w:val="00657EC0"/>
    <w:rsid w:val="00657EC7"/>
    <w:rsid w:val="00660244"/>
    <w:rsid w:val="00661E51"/>
    <w:rsid w:val="00663B55"/>
    <w:rsid w:val="0066419A"/>
    <w:rsid w:val="00664DEC"/>
    <w:rsid w:val="0066591A"/>
    <w:rsid w:val="00665D40"/>
    <w:rsid w:val="00665E8B"/>
    <w:rsid w:val="006664CC"/>
    <w:rsid w:val="00666ADC"/>
    <w:rsid w:val="00666BE2"/>
    <w:rsid w:val="006674E9"/>
    <w:rsid w:val="00670890"/>
    <w:rsid w:val="006717B7"/>
    <w:rsid w:val="00671DE1"/>
    <w:rsid w:val="0067260E"/>
    <w:rsid w:val="00673126"/>
    <w:rsid w:val="00673508"/>
    <w:rsid w:val="00673599"/>
    <w:rsid w:val="00673BEB"/>
    <w:rsid w:val="00674220"/>
    <w:rsid w:val="0067501E"/>
    <w:rsid w:val="00675843"/>
    <w:rsid w:val="00675F80"/>
    <w:rsid w:val="006766F2"/>
    <w:rsid w:val="00677099"/>
    <w:rsid w:val="0067726F"/>
    <w:rsid w:val="0068147B"/>
    <w:rsid w:val="006816C5"/>
    <w:rsid w:val="006819FD"/>
    <w:rsid w:val="00682029"/>
    <w:rsid w:val="00683124"/>
    <w:rsid w:val="00684357"/>
    <w:rsid w:val="006851DB"/>
    <w:rsid w:val="006873C1"/>
    <w:rsid w:val="006874E8"/>
    <w:rsid w:val="00691448"/>
    <w:rsid w:val="00691ABA"/>
    <w:rsid w:val="00691E32"/>
    <w:rsid w:val="006928CC"/>
    <w:rsid w:val="00693D6F"/>
    <w:rsid w:val="006943AC"/>
    <w:rsid w:val="00694A5B"/>
    <w:rsid w:val="00694B8A"/>
    <w:rsid w:val="00694C34"/>
    <w:rsid w:val="0069584F"/>
    <w:rsid w:val="00695F55"/>
    <w:rsid w:val="00697010"/>
    <w:rsid w:val="00697402"/>
    <w:rsid w:val="006A013F"/>
    <w:rsid w:val="006A0765"/>
    <w:rsid w:val="006A144A"/>
    <w:rsid w:val="006A1F3C"/>
    <w:rsid w:val="006A20FA"/>
    <w:rsid w:val="006A3719"/>
    <w:rsid w:val="006A40F0"/>
    <w:rsid w:val="006A4292"/>
    <w:rsid w:val="006A4CBF"/>
    <w:rsid w:val="006A54B0"/>
    <w:rsid w:val="006A73B2"/>
    <w:rsid w:val="006A7844"/>
    <w:rsid w:val="006A7856"/>
    <w:rsid w:val="006A7A80"/>
    <w:rsid w:val="006A7B50"/>
    <w:rsid w:val="006A7D61"/>
    <w:rsid w:val="006B0BC8"/>
    <w:rsid w:val="006B15C0"/>
    <w:rsid w:val="006B1D89"/>
    <w:rsid w:val="006B239E"/>
    <w:rsid w:val="006B26F2"/>
    <w:rsid w:val="006B29C2"/>
    <w:rsid w:val="006B3B01"/>
    <w:rsid w:val="006B3D81"/>
    <w:rsid w:val="006B4114"/>
    <w:rsid w:val="006B42B0"/>
    <w:rsid w:val="006B455B"/>
    <w:rsid w:val="006B4C4C"/>
    <w:rsid w:val="006B52D1"/>
    <w:rsid w:val="006B6355"/>
    <w:rsid w:val="006B7DD7"/>
    <w:rsid w:val="006C1296"/>
    <w:rsid w:val="006C18B4"/>
    <w:rsid w:val="006C2651"/>
    <w:rsid w:val="006C44F2"/>
    <w:rsid w:val="006C5492"/>
    <w:rsid w:val="006C59C9"/>
    <w:rsid w:val="006C5B39"/>
    <w:rsid w:val="006C7624"/>
    <w:rsid w:val="006C7680"/>
    <w:rsid w:val="006D0A44"/>
    <w:rsid w:val="006D0D3E"/>
    <w:rsid w:val="006D0E3F"/>
    <w:rsid w:val="006D2243"/>
    <w:rsid w:val="006D2953"/>
    <w:rsid w:val="006D304D"/>
    <w:rsid w:val="006D4D6F"/>
    <w:rsid w:val="006D6CC0"/>
    <w:rsid w:val="006D709C"/>
    <w:rsid w:val="006D7D5D"/>
    <w:rsid w:val="006E0343"/>
    <w:rsid w:val="006E0C4C"/>
    <w:rsid w:val="006E0D6F"/>
    <w:rsid w:val="006E196C"/>
    <w:rsid w:val="006E2BE8"/>
    <w:rsid w:val="006E306F"/>
    <w:rsid w:val="006E6E94"/>
    <w:rsid w:val="006E7D8D"/>
    <w:rsid w:val="006F0B33"/>
    <w:rsid w:val="006F0C2B"/>
    <w:rsid w:val="006F222E"/>
    <w:rsid w:val="006F4769"/>
    <w:rsid w:val="006F4CD0"/>
    <w:rsid w:val="006F512E"/>
    <w:rsid w:val="006F6781"/>
    <w:rsid w:val="006F6BD7"/>
    <w:rsid w:val="006F7223"/>
    <w:rsid w:val="006F7E3B"/>
    <w:rsid w:val="0070008C"/>
    <w:rsid w:val="007018CF"/>
    <w:rsid w:val="00701CDA"/>
    <w:rsid w:val="00702653"/>
    <w:rsid w:val="00702812"/>
    <w:rsid w:val="00703888"/>
    <w:rsid w:val="00704355"/>
    <w:rsid w:val="00704C92"/>
    <w:rsid w:val="00705D20"/>
    <w:rsid w:val="0070710F"/>
    <w:rsid w:val="007077D0"/>
    <w:rsid w:val="0071012A"/>
    <w:rsid w:val="007109E8"/>
    <w:rsid w:val="007122B9"/>
    <w:rsid w:val="00712ECD"/>
    <w:rsid w:val="00715922"/>
    <w:rsid w:val="00716792"/>
    <w:rsid w:val="00716941"/>
    <w:rsid w:val="00716BA0"/>
    <w:rsid w:val="0071772E"/>
    <w:rsid w:val="00717FCC"/>
    <w:rsid w:val="00720040"/>
    <w:rsid w:val="007203F3"/>
    <w:rsid w:val="00721065"/>
    <w:rsid w:val="0072163C"/>
    <w:rsid w:val="00725652"/>
    <w:rsid w:val="00726100"/>
    <w:rsid w:val="007262A0"/>
    <w:rsid w:val="007269D1"/>
    <w:rsid w:val="00727A75"/>
    <w:rsid w:val="00730032"/>
    <w:rsid w:val="00730431"/>
    <w:rsid w:val="00731845"/>
    <w:rsid w:val="00733158"/>
    <w:rsid w:val="0073371A"/>
    <w:rsid w:val="0073628D"/>
    <w:rsid w:val="00737174"/>
    <w:rsid w:val="007371F8"/>
    <w:rsid w:val="00737422"/>
    <w:rsid w:val="00737483"/>
    <w:rsid w:val="0073757A"/>
    <w:rsid w:val="00737729"/>
    <w:rsid w:val="00737FDD"/>
    <w:rsid w:val="00742800"/>
    <w:rsid w:val="00742A19"/>
    <w:rsid w:val="00743C81"/>
    <w:rsid w:val="00744B6D"/>
    <w:rsid w:val="00745508"/>
    <w:rsid w:val="00745D16"/>
    <w:rsid w:val="00746919"/>
    <w:rsid w:val="0074697F"/>
    <w:rsid w:val="00747C1C"/>
    <w:rsid w:val="00750399"/>
    <w:rsid w:val="0075054A"/>
    <w:rsid w:val="0075076F"/>
    <w:rsid w:val="00750C55"/>
    <w:rsid w:val="00751CF5"/>
    <w:rsid w:val="007529CB"/>
    <w:rsid w:val="00752E64"/>
    <w:rsid w:val="00754300"/>
    <w:rsid w:val="00754FE8"/>
    <w:rsid w:val="0075504B"/>
    <w:rsid w:val="00755F5E"/>
    <w:rsid w:val="007563DF"/>
    <w:rsid w:val="00756F80"/>
    <w:rsid w:val="007570B3"/>
    <w:rsid w:val="007577C3"/>
    <w:rsid w:val="00757E08"/>
    <w:rsid w:val="0076112D"/>
    <w:rsid w:val="00762F16"/>
    <w:rsid w:val="00763172"/>
    <w:rsid w:val="007655FD"/>
    <w:rsid w:val="007656EE"/>
    <w:rsid w:val="00765C8E"/>
    <w:rsid w:val="00766318"/>
    <w:rsid w:val="00766D92"/>
    <w:rsid w:val="00767212"/>
    <w:rsid w:val="00771948"/>
    <w:rsid w:val="00771D9E"/>
    <w:rsid w:val="00774752"/>
    <w:rsid w:val="007752C0"/>
    <w:rsid w:val="00776018"/>
    <w:rsid w:val="00776107"/>
    <w:rsid w:val="007778D2"/>
    <w:rsid w:val="007809E0"/>
    <w:rsid w:val="00780A13"/>
    <w:rsid w:val="00780C9D"/>
    <w:rsid w:val="00780ECB"/>
    <w:rsid w:val="0078194C"/>
    <w:rsid w:val="00782172"/>
    <w:rsid w:val="0078387C"/>
    <w:rsid w:val="00786AA5"/>
    <w:rsid w:val="00786D3B"/>
    <w:rsid w:val="00787545"/>
    <w:rsid w:val="007876AD"/>
    <w:rsid w:val="00787DD9"/>
    <w:rsid w:val="00790735"/>
    <w:rsid w:val="00790E50"/>
    <w:rsid w:val="00793156"/>
    <w:rsid w:val="0079348F"/>
    <w:rsid w:val="007A0FF4"/>
    <w:rsid w:val="007A1B97"/>
    <w:rsid w:val="007A21D8"/>
    <w:rsid w:val="007A2DC9"/>
    <w:rsid w:val="007A2E9B"/>
    <w:rsid w:val="007A31C2"/>
    <w:rsid w:val="007A4B9C"/>
    <w:rsid w:val="007A5A33"/>
    <w:rsid w:val="007A5F8C"/>
    <w:rsid w:val="007A6649"/>
    <w:rsid w:val="007A6F20"/>
    <w:rsid w:val="007A7492"/>
    <w:rsid w:val="007A79CC"/>
    <w:rsid w:val="007B091B"/>
    <w:rsid w:val="007B15B5"/>
    <w:rsid w:val="007B1EE4"/>
    <w:rsid w:val="007B268F"/>
    <w:rsid w:val="007B3154"/>
    <w:rsid w:val="007B3B13"/>
    <w:rsid w:val="007B5CF6"/>
    <w:rsid w:val="007B61A4"/>
    <w:rsid w:val="007B652D"/>
    <w:rsid w:val="007B68A8"/>
    <w:rsid w:val="007B6A0B"/>
    <w:rsid w:val="007B73E8"/>
    <w:rsid w:val="007C0716"/>
    <w:rsid w:val="007C1482"/>
    <w:rsid w:val="007C166C"/>
    <w:rsid w:val="007C24DF"/>
    <w:rsid w:val="007C3324"/>
    <w:rsid w:val="007C336A"/>
    <w:rsid w:val="007C4EDE"/>
    <w:rsid w:val="007C5B6F"/>
    <w:rsid w:val="007C68DD"/>
    <w:rsid w:val="007C6FC3"/>
    <w:rsid w:val="007D3A18"/>
    <w:rsid w:val="007D4882"/>
    <w:rsid w:val="007D4D35"/>
    <w:rsid w:val="007D5600"/>
    <w:rsid w:val="007D58C2"/>
    <w:rsid w:val="007E0763"/>
    <w:rsid w:val="007E07FC"/>
    <w:rsid w:val="007E19E8"/>
    <w:rsid w:val="007E202B"/>
    <w:rsid w:val="007E2245"/>
    <w:rsid w:val="007E2EEF"/>
    <w:rsid w:val="007E3AF2"/>
    <w:rsid w:val="007E4BAF"/>
    <w:rsid w:val="007E503B"/>
    <w:rsid w:val="007E62A8"/>
    <w:rsid w:val="007E6C0E"/>
    <w:rsid w:val="007E73E7"/>
    <w:rsid w:val="007F01B2"/>
    <w:rsid w:val="007F0397"/>
    <w:rsid w:val="007F19AE"/>
    <w:rsid w:val="007F1C27"/>
    <w:rsid w:val="007F2556"/>
    <w:rsid w:val="007F2CCD"/>
    <w:rsid w:val="007F3B35"/>
    <w:rsid w:val="007F414F"/>
    <w:rsid w:val="007F45D9"/>
    <w:rsid w:val="007F4E04"/>
    <w:rsid w:val="007F5108"/>
    <w:rsid w:val="007F6BED"/>
    <w:rsid w:val="007F7A70"/>
    <w:rsid w:val="008007B4"/>
    <w:rsid w:val="00801D3A"/>
    <w:rsid w:val="008022B1"/>
    <w:rsid w:val="008033C5"/>
    <w:rsid w:val="00804061"/>
    <w:rsid w:val="00804114"/>
    <w:rsid w:val="0080415D"/>
    <w:rsid w:val="00805C43"/>
    <w:rsid w:val="00805C9C"/>
    <w:rsid w:val="00806A97"/>
    <w:rsid w:val="00806AA7"/>
    <w:rsid w:val="00806B3C"/>
    <w:rsid w:val="00806C45"/>
    <w:rsid w:val="00806E36"/>
    <w:rsid w:val="00807766"/>
    <w:rsid w:val="00811F0C"/>
    <w:rsid w:val="00811FEF"/>
    <w:rsid w:val="00812C6D"/>
    <w:rsid w:val="00812D1C"/>
    <w:rsid w:val="00814A5B"/>
    <w:rsid w:val="008156C0"/>
    <w:rsid w:val="008161E7"/>
    <w:rsid w:val="00816B93"/>
    <w:rsid w:val="00816F79"/>
    <w:rsid w:val="0081703F"/>
    <w:rsid w:val="00817DDE"/>
    <w:rsid w:val="00821456"/>
    <w:rsid w:val="00822E1E"/>
    <w:rsid w:val="00825C7C"/>
    <w:rsid w:val="00826468"/>
    <w:rsid w:val="0082686F"/>
    <w:rsid w:val="00827523"/>
    <w:rsid w:val="0083013E"/>
    <w:rsid w:val="00830867"/>
    <w:rsid w:val="0083126A"/>
    <w:rsid w:val="008341E3"/>
    <w:rsid w:val="0083539C"/>
    <w:rsid w:val="0083671D"/>
    <w:rsid w:val="008377CD"/>
    <w:rsid w:val="00840841"/>
    <w:rsid w:val="008418D0"/>
    <w:rsid w:val="00841F8B"/>
    <w:rsid w:val="00842256"/>
    <w:rsid w:val="00843790"/>
    <w:rsid w:val="00843DFB"/>
    <w:rsid w:val="00844FA4"/>
    <w:rsid w:val="00845919"/>
    <w:rsid w:val="00846197"/>
    <w:rsid w:val="00847987"/>
    <w:rsid w:val="008518A3"/>
    <w:rsid w:val="00852386"/>
    <w:rsid w:val="008525B1"/>
    <w:rsid w:val="008532CF"/>
    <w:rsid w:val="00855156"/>
    <w:rsid w:val="00855DA0"/>
    <w:rsid w:val="00857094"/>
    <w:rsid w:val="008571CA"/>
    <w:rsid w:val="00860763"/>
    <w:rsid w:val="008616B0"/>
    <w:rsid w:val="008623B8"/>
    <w:rsid w:val="0086427C"/>
    <w:rsid w:val="00865055"/>
    <w:rsid w:val="008661F5"/>
    <w:rsid w:val="00866512"/>
    <w:rsid w:val="00867B88"/>
    <w:rsid w:val="0087000C"/>
    <w:rsid w:val="008701FC"/>
    <w:rsid w:val="0087107E"/>
    <w:rsid w:val="00871A1A"/>
    <w:rsid w:val="00871CD5"/>
    <w:rsid w:val="00871E8D"/>
    <w:rsid w:val="00872D66"/>
    <w:rsid w:val="00875A78"/>
    <w:rsid w:val="00875E55"/>
    <w:rsid w:val="00875F40"/>
    <w:rsid w:val="00876972"/>
    <w:rsid w:val="00877A43"/>
    <w:rsid w:val="00877BF4"/>
    <w:rsid w:val="00877C2E"/>
    <w:rsid w:val="00881A9A"/>
    <w:rsid w:val="00881C8F"/>
    <w:rsid w:val="00881EAA"/>
    <w:rsid w:val="00881FED"/>
    <w:rsid w:val="008822C4"/>
    <w:rsid w:val="0088278B"/>
    <w:rsid w:val="00882E6A"/>
    <w:rsid w:val="00883417"/>
    <w:rsid w:val="008839ED"/>
    <w:rsid w:val="008847CE"/>
    <w:rsid w:val="008848DB"/>
    <w:rsid w:val="008848F0"/>
    <w:rsid w:val="008849BE"/>
    <w:rsid w:val="0088575B"/>
    <w:rsid w:val="008857B2"/>
    <w:rsid w:val="00887638"/>
    <w:rsid w:val="00887CE7"/>
    <w:rsid w:val="008902B7"/>
    <w:rsid w:val="0089074A"/>
    <w:rsid w:val="00890C1B"/>
    <w:rsid w:val="00891530"/>
    <w:rsid w:val="00892E4D"/>
    <w:rsid w:val="008930EE"/>
    <w:rsid w:val="008933E5"/>
    <w:rsid w:val="00893DDE"/>
    <w:rsid w:val="00896671"/>
    <w:rsid w:val="0089775C"/>
    <w:rsid w:val="008A0C37"/>
    <w:rsid w:val="008A267C"/>
    <w:rsid w:val="008A36DA"/>
    <w:rsid w:val="008A3749"/>
    <w:rsid w:val="008A3FF7"/>
    <w:rsid w:val="008A40C9"/>
    <w:rsid w:val="008A49E9"/>
    <w:rsid w:val="008A54B6"/>
    <w:rsid w:val="008A6154"/>
    <w:rsid w:val="008A7D14"/>
    <w:rsid w:val="008B0D4D"/>
    <w:rsid w:val="008B10E0"/>
    <w:rsid w:val="008B1534"/>
    <w:rsid w:val="008B1EE6"/>
    <w:rsid w:val="008B291D"/>
    <w:rsid w:val="008B3039"/>
    <w:rsid w:val="008B432B"/>
    <w:rsid w:val="008B5435"/>
    <w:rsid w:val="008B67B0"/>
    <w:rsid w:val="008B749D"/>
    <w:rsid w:val="008B77EF"/>
    <w:rsid w:val="008C01EF"/>
    <w:rsid w:val="008C0379"/>
    <w:rsid w:val="008C1B83"/>
    <w:rsid w:val="008C2131"/>
    <w:rsid w:val="008C232A"/>
    <w:rsid w:val="008C2340"/>
    <w:rsid w:val="008C4984"/>
    <w:rsid w:val="008C4E30"/>
    <w:rsid w:val="008C5A40"/>
    <w:rsid w:val="008C6626"/>
    <w:rsid w:val="008D0C2D"/>
    <w:rsid w:val="008D1AAE"/>
    <w:rsid w:val="008D1AED"/>
    <w:rsid w:val="008D246B"/>
    <w:rsid w:val="008D316B"/>
    <w:rsid w:val="008D53B1"/>
    <w:rsid w:val="008D6465"/>
    <w:rsid w:val="008E04AE"/>
    <w:rsid w:val="008E0994"/>
    <w:rsid w:val="008E0BBD"/>
    <w:rsid w:val="008E293F"/>
    <w:rsid w:val="008E34B1"/>
    <w:rsid w:val="008E359D"/>
    <w:rsid w:val="008E50DB"/>
    <w:rsid w:val="008E5B18"/>
    <w:rsid w:val="008E68DC"/>
    <w:rsid w:val="008E6A8E"/>
    <w:rsid w:val="008E6B23"/>
    <w:rsid w:val="008F00CD"/>
    <w:rsid w:val="008F138A"/>
    <w:rsid w:val="008F13DD"/>
    <w:rsid w:val="008F168B"/>
    <w:rsid w:val="008F1AEB"/>
    <w:rsid w:val="008F1D71"/>
    <w:rsid w:val="008F352E"/>
    <w:rsid w:val="008F430B"/>
    <w:rsid w:val="008F4522"/>
    <w:rsid w:val="008F4AFA"/>
    <w:rsid w:val="008F585A"/>
    <w:rsid w:val="008F7BF8"/>
    <w:rsid w:val="008F7CFE"/>
    <w:rsid w:val="0090062C"/>
    <w:rsid w:val="00900940"/>
    <w:rsid w:val="009010F9"/>
    <w:rsid w:val="009012A5"/>
    <w:rsid w:val="00901C96"/>
    <w:rsid w:val="00901D4F"/>
    <w:rsid w:val="009020C6"/>
    <w:rsid w:val="00903F90"/>
    <w:rsid w:val="00904687"/>
    <w:rsid w:val="009052F5"/>
    <w:rsid w:val="00905B8D"/>
    <w:rsid w:val="00906DC1"/>
    <w:rsid w:val="00910109"/>
    <w:rsid w:val="00910645"/>
    <w:rsid w:val="00911757"/>
    <w:rsid w:val="0091184F"/>
    <w:rsid w:val="009119C1"/>
    <w:rsid w:val="00911AAF"/>
    <w:rsid w:val="00911AD6"/>
    <w:rsid w:val="00911BFA"/>
    <w:rsid w:val="009126BA"/>
    <w:rsid w:val="009127F9"/>
    <w:rsid w:val="0091282F"/>
    <w:rsid w:val="00912B7E"/>
    <w:rsid w:val="00913147"/>
    <w:rsid w:val="009145D7"/>
    <w:rsid w:val="0091481C"/>
    <w:rsid w:val="00914BBD"/>
    <w:rsid w:val="00915422"/>
    <w:rsid w:val="00920A1A"/>
    <w:rsid w:val="00920A39"/>
    <w:rsid w:val="00921479"/>
    <w:rsid w:val="0092318B"/>
    <w:rsid w:val="00924AE6"/>
    <w:rsid w:val="00925391"/>
    <w:rsid w:val="00925619"/>
    <w:rsid w:val="0092711B"/>
    <w:rsid w:val="00927E80"/>
    <w:rsid w:val="009316D9"/>
    <w:rsid w:val="0093188D"/>
    <w:rsid w:val="00932064"/>
    <w:rsid w:val="0093369D"/>
    <w:rsid w:val="009338D7"/>
    <w:rsid w:val="00934832"/>
    <w:rsid w:val="0093598B"/>
    <w:rsid w:val="0093674C"/>
    <w:rsid w:val="00936F15"/>
    <w:rsid w:val="0093786F"/>
    <w:rsid w:val="00937E51"/>
    <w:rsid w:val="00940620"/>
    <w:rsid w:val="0094069C"/>
    <w:rsid w:val="00940EF3"/>
    <w:rsid w:val="009436C7"/>
    <w:rsid w:val="0094596E"/>
    <w:rsid w:val="00945A37"/>
    <w:rsid w:val="00945F9E"/>
    <w:rsid w:val="0094638B"/>
    <w:rsid w:val="00946A0B"/>
    <w:rsid w:val="009475AE"/>
    <w:rsid w:val="009501D7"/>
    <w:rsid w:val="009504EC"/>
    <w:rsid w:val="0095085C"/>
    <w:rsid w:val="00950902"/>
    <w:rsid w:val="00950B8F"/>
    <w:rsid w:val="00951278"/>
    <w:rsid w:val="00951DCF"/>
    <w:rsid w:val="0095219D"/>
    <w:rsid w:val="00952317"/>
    <w:rsid w:val="00953313"/>
    <w:rsid w:val="00953431"/>
    <w:rsid w:val="00955FDF"/>
    <w:rsid w:val="00957867"/>
    <w:rsid w:val="00957CD4"/>
    <w:rsid w:val="00957E50"/>
    <w:rsid w:val="0096009F"/>
    <w:rsid w:val="00960B71"/>
    <w:rsid w:val="00960B85"/>
    <w:rsid w:val="00960D35"/>
    <w:rsid w:val="00961963"/>
    <w:rsid w:val="009629F7"/>
    <w:rsid w:val="00962ACF"/>
    <w:rsid w:val="00963324"/>
    <w:rsid w:val="00964B6B"/>
    <w:rsid w:val="00965E18"/>
    <w:rsid w:val="009660EC"/>
    <w:rsid w:val="009663E4"/>
    <w:rsid w:val="0096689F"/>
    <w:rsid w:val="009668F1"/>
    <w:rsid w:val="009706F1"/>
    <w:rsid w:val="00970F0A"/>
    <w:rsid w:val="0097322E"/>
    <w:rsid w:val="00974220"/>
    <w:rsid w:val="0097537B"/>
    <w:rsid w:val="00975C3D"/>
    <w:rsid w:val="009761E1"/>
    <w:rsid w:val="00976DD9"/>
    <w:rsid w:val="00977717"/>
    <w:rsid w:val="009777CE"/>
    <w:rsid w:val="00977AA0"/>
    <w:rsid w:val="009804B3"/>
    <w:rsid w:val="0098137F"/>
    <w:rsid w:val="009835C4"/>
    <w:rsid w:val="00984024"/>
    <w:rsid w:val="0098452D"/>
    <w:rsid w:val="00984A08"/>
    <w:rsid w:val="00985A77"/>
    <w:rsid w:val="0098743A"/>
    <w:rsid w:val="00991A5D"/>
    <w:rsid w:val="00992470"/>
    <w:rsid w:val="00992599"/>
    <w:rsid w:val="009929C7"/>
    <w:rsid w:val="00992AC2"/>
    <w:rsid w:val="0099443C"/>
    <w:rsid w:val="00995398"/>
    <w:rsid w:val="009956EC"/>
    <w:rsid w:val="00995D64"/>
    <w:rsid w:val="009974B0"/>
    <w:rsid w:val="009974B3"/>
    <w:rsid w:val="0099783A"/>
    <w:rsid w:val="009A09A0"/>
    <w:rsid w:val="009A10F8"/>
    <w:rsid w:val="009A2007"/>
    <w:rsid w:val="009A320E"/>
    <w:rsid w:val="009A3717"/>
    <w:rsid w:val="009A398F"/>
    <w:rsid w:val="009A4B82"/>
    <w:rsid w:val="009A59AB"/>
    <w:rsid w:val="009A6DB4"/>
    <w:rsid w:val="009A7918"/>
    <w:rsid w:val="009B0CBE"/>
    <w:rsid w:val="009B1222"/>
    <w:rsid w:val="009B2328"/>
    <w:rsid w:val="009B2E9F"/>
    <w:rsid w:val="009B4215"/>
    <w:rsid w:val="009B4725"/>
    <w:rsid w:val="009B55DD"/>
    <w:rsid w:val="009B64A9"/>
    <w:rsid w:val="009B71C4"/>
    <w:rsid w:val="009B7330"/>
    <w:rsid w:val="009C00A2"/>
    <w:rsid w:val="009C0AA8"/>
    <w:rsid w:val="009C2386"/>
    <w:rsid w:val="009C281B"/>
    <w:rsid w:val="009C2EDF"/>
    <w:rsid w:val="009C3883"/>
    <w:rsid w:val="009C3E9A"/>
    <w:rsid w:val="009C4015"/>
    <w:rsid w:val="009C446C"/>
    <w:rsid w:val="009C4C4E"/>
    <w:rsid w:val="009C4D02"/>
    <w:rsid w:val="009C4F00"/>
    <w:rsid w:val="009C52A9"/>
    <w:rsid w:val="009C5528"/>
    <w:rsid w:val="009C6C33"/>
    <w:rsid w:val="009C7144"/>
    <w:rsid w:val="009C723B"/>
    <w:rsid w:val="009C727C"/>
    <w:rsid w:val="009C743D"/>
    <w:rsid w:val="009C7AA3"/>
    <w:rsid w:val="009D03D4"/>
    <w:rsid w:val="009D0EA0"/>
    <w:rsid w:val="009D2496"/>
    <w:rsid w:val="009D26E6"/>
    <w:rsid w:val="009D2908"/>
    <w:rsid w:val="009D3743"/>
    <w:rsid w:val="009D395A"/>
    <w:rsid w:val="009D4571"/>
    <w:rsid w:val="009D4AF2"/>
    <w:rsid w:val="009D4F8F"/>
    <w:rsid w:val="009D536A"/>
    <w:rsid w:val="009D6DB6"/>
    <w:rsid w:val="009E0F09"/>
    <w:rsid w:val="009E13AB"/>
    <w:rsid w:val="009E2201"/>
    <w:rsid w:val="009E25E8"/>
    <w:rsid w:val="009E2E62"/>
    <w:rsid w:val="009E3CBB"/>
    <w:rsid w:val="009E441E"/>
    <w:rsid w:val="009E5506"/>
    <w:rsid w:val="009E6063"/>
    <w:rsid w:val="009E75DD"/>
    <w:rsid w:val="009E7785"/>
    <w:rsid w:val="009F0265"/>
    <w:rsid w:val="009F0537"/>
    <w:rsid w:val="009F05F3"/>
    <w:rsid w:val="009F0F2B"/>
    <w:rsid w:val="009F1861"/>
    <w:rsid w:val="009F3390"/>
    <w:rsid w:val="009F3876"/>
    <w:rsid w:val="009F3C00"/>
    <w:rsid w:val="009F460A"/>
    <w:rsid w:val="009F4D37"/>
    <w:rsid w:val="009F7002"/>
    <w:rsid w:val="009F7C46"/>
    <w:rsid w:val="009F7DCD"/>
    <w:rsid w:val="00A0228E"/>
    <w:rsid w:val="00A02B6E"/>
    <w:rsid w:val="00A0308D"/>
    <w:rsid w:val="00A03493"/>
    <w:rsid w:val="00A04640"/>
    <w:rsid w:val="00A04DC9"/>
    <w:rsid w:val="00A04E2C"/>
    <w:rsid w:val="00A05379"/>
    <w:rsid w:val="00A05E26"/>
    <w:rsid w:val="00A061B8"/>
    <w:rsid w:val="00A06B05"/>
    <w:rsid w:val="00A070FA"/>
    <w:rsid w:val="00A072ED"/>
    <w:rsid w:val="00A11D22"/>
    <w:rsid w:val="00A12138"/>
    <w:rsid w:val="00A121F6"/>
    <w:rsid w:val="00A12482"/>
    <w:rsid w:val="00A13EEC"/>
    <w:rsid w:val="00A20478"/>
    <w:rsid w:val="00A21011"/>
    <w:rsid w:val="00A21A28"/>
    <w:rsid w:val="00A21D5A"/>
    <w:rsid w:val="00A23773"/>
    <w:rsid w:val="00A23AFE"/>
    <w:rsid w:val="00A258BE"/>
    <w:rsid w:val="00A265ED"/>
    <w:rsid w:val="00A27FC3"/>
    <w:rsid w:val="00A311BA"/>
    <w:rsid w:val="00A32656"/>
    <w:rsid w:val="00A329D4"/>
    <w:rsid w:val="00A335CB"/>
    <w:rsid w:val="00A35ECC"/>
    <w:rsid w:val="00A368A9"/>
    <w:rsid w:val="00A36A8E"/>
    <w:rsid w:val="00A372D9"/>
    <w:rsid w:val="00A37C39"/>
    <w:rsid w:val="00A40E65"/>
    <w:rsid w:val="00A41679"/>
    <w:rsid w:val="00A417F3"/>
    <w:rsid w:val="00A41FB3"/>
    <w:rsid w:val="00A4223F"/>
    <w:rsid w:val="00A42823"/>
    <w:rsid w:val="00A42B04"/>
    <w:rsid w:val="00A42CC8"/>
    <w:rsid w:val="00A43B68"/>
    <w:rsid w:val="00A44C8D"/>
    <w:rsid w:val="00A44FB3"/>
    <w:rsid w:val="00A46E40"/>
    <w:rsid w:val="00A47039"/>
    <w:rsid w:val="00A47046"/>
    <w:rsid w:val="00A47562"/>
    <w:rsid w:val="00A5045A"/>
    <w:rsid w:val="00A508EA"/>
    <w:rsid w:val="00A511C1"/>
    <w:rsid w:val="00A51AB0"/>
    <w:rsid w:val="00A51C17"/>
    <w:rsid w:val="00A53778"/>
    <w:rsid w:val="00A53E7F"/>
    <w:rsid w:val="00A5407D"/>
    <w:rsid w:val="00A543A8"/>
    <w:rsid w:val="00A54C78"/>
    <w:rsid w:val="00A55542"/>
    <w:rsid w:val="00A57550"/>
    <w:rsid w:val="00A57949"/>
    <w:rsid w:val="00A57ED3"/>
    <w:rsid w:val="00A61823"/>
    <w:rsid w:val="00A6239A"/>
    <w:rsid w:val="00A62ADA"/>
    <w:rsid w:val="00A62B49"/>
    <w:rsid w:val="00A635A3"/>
    <w:rsid w:val="00A649DB"/>
    <w:rsid w:val="00A649E6"/>
    <w:rsid w:val="00A64B41"/>
    <w:rsid w:val="00A65454"/>
    <w:rsid w:val="00A6545C"/>
    <w:rsid w:val="00A65C86"/>
    <w:rsid w:val="00A65CC4"/>
    <w:rsid w:val="00A6692B"/>
    <w:rsid w:val="00A67552"/>
    <w:rsid w:val="00A67671"/>
    <w:rsid w:val="00A704D1"/>
    <w:rsid w:val="00A705BA"/>
    <w:rsid w:val="00A70C5A"/>
    <w:rsid w:val="00A70E43"/>
    <w:rsid w:val="00A717EF"/>
    <w:rsid w:val="00A73189"/>
    <w:rsid w:val="00A73575"/>
    <w:rsid w:val="00A737F8"/>
    <w:rsid w:val="00A74BC4"/>
    <w:rsid w:val="00A75306"/>
    <w:rsid w:val="00A755E7"/>
    <w:rsid w:val="00A7707F"/>
    <w:rsid w:val="00A77198"/>
    <w:rsid w:val="00A773C5"/>
    <w:rsid w:val="00A77CD9"/>
    <w:rsid w:val="00A8020C"/>
    <w:rsid w:val="00A8025A"/>
    <w:rsid w:val="00A80C13"/>
    <w:rsid w:val="00A80EA2"/>
    <w:rsid w:val="00A812A2"/>
    <w:rsid w:val="00A8216C"/>
    <w:rsid w:val="00A825C1"/>
    <w:rsid w:val="00A83C15"/>
    <w:rsid w:val="00A84046"/>
    <w:rsid w:val="00A856ED"/>
    <w:rsid w:val="00A85B4F"/>
    <w:rsid w:val="00A86630"/>
    <w:rsid w:val="00A8732B"/>
    <w:rsid w:val="00A87351"/>
    <w:rsid w:val="00A87599"/>
    <w:rsid w:val="00A879EB"/>
    <w:rsid w:val="00A9097F"/>
    <w:rsid w:val="00A90E10"/>
    <w:rsid w:val="00A918A8"/>
    <w:rsid w:val="00A923F9"/>
    <w:rsid w:val="00A93A24"/>
    <w:rsid w:val="00A94AE5"/>
    <w:rsid w:val="00A95CCF"/>
    <w:rsid w:val="00A9611F"/>
    <w:rsid w:val="00A96A53"/>
    <w:rsid w:val="00A9786F"/>
    <w:rsid w:val="00AA00A0"/>
    <w:rsid w:val="00AA14D6"/>
    <w:rsid w:val="00AA17D9"/>
    <w:rsid w:val="00AA1E5B"/>
    <w:rsid w:val="00AA3995"/>
    <w:rsid w:val="00AA3BBC"/>
    <w:rsid w:val="00AA3D64"/>
    <w:rsid w:val="00AA4A77"/>
    <w:rsid w:val="00AA57F0"/>
    <w:rsid w:val="00AA6A5F"/>
    <w:rsid w:val="00AA73CE"/>
    <w:rsid w:val="00AA745E"/>
    <w:rsid w:val="00AA7653"/>
    <w:rsid w:val="00AA7964"/>
    <w:rsid w:val="00AA7AD8"/>
    <w:rsid w:val="00AB12FE"/>
    <w:rsid w:val="00AB1A25"/>
    <w:rsid w:val="00AB1D03"/>
    <w:rsid w:val="00AB2AAC"/>
    <w:rsid w:val="00AB49AC"/>
    <w:rsid w:val="00AB5B8C"/>
    <w:rsid w:val="00AB5BB3"/>
    <w:rsid w:val="00AB5D8B"/>
    <w:rsid w:val="00AB60B6"/>
    <w:rsid w:val="00AB6747"/>
    <w:rsid w:val="00AB6798"/>
    <w:rsid w:val="00AB684D"/>
    <w:rsid w:val="00AB6859"/>
    <w:rsid w:val="00AB6B13"/>
    <w:rsid w:val="00AB6C89"/>
    <w:rsid w:val="00AB6E29"/>
    <w:rsid w:val="00AC03BA"/>
    <w:rsid w:val="00AC1AAB"/>
    <w:rsid w:val="00AC1AFD"/>
    <w:rsid w:val="00AC2CFE"/>
    <w:rsid w:val="00AC2D12"/>
    <w:rsid w:val="00AC2D58"/>
    <w:rsid w:val="00AC33C9"/>
    <w:rsid w:val="00AC4646"/>
    <w:rsid w:val="00AC4C0E"/>
    <w:rsid w:val="00AC5B9D"/>
    <w:rsid w:val="00AC5F1F"/>
    <w:rsid w:val="00AC6345"/>
    <w:rsid w:val="00AC6C8B"/>
    <w:rsid w:val="00AC7668"/>
    <w:rsid w:val="00AD03AC"/>
    <w:rsid w:val="00AD0495"/>
    <w:rsid w:val="00AD078A"/>
    <w:rsid w:val="00AD09BD"/>
    <w:rsid w:val="00AD12C0"/>
    <w:rsid w:val="00AD19EB"/>
    <w:rsid w:val="00AD34F9"/>
    <w:rsid w:val="00AD3D7F"/>
    <w:rsid w:val="00AD423B"/>
    <w:rsid w:val="00AD4C43"/>
    <w:rsid w:val="00AD50E6"/>
    <w:rsid w:val="00AD528B"/>
    <w:rsid w:val="00AD5614"/>
    <w:rsid w:val="00AD5CA0"/>
    <w:rsid w:val="00AD62A6"/>
    <w:rsid w:val="00AE1430"/>
    <w:rsid w:val="00AE1A23"/>
    <w:rsid w:val="00AE20B5"/>
    <w:rsid w:val="00AE24EE"/>
    <w:rsid w:val="00AE2B5B"/>
    <w:rsid w:val="00AE3693"/>
    <w:rsid w:val="00AE4FF9"/>
    <w:rsid w:val="00AE52C2"/>
    <w:rsid w:val="00AE5C0E"/>
    <w:rsid w:val="00AE5CB5"/>
    <w:rsid w:val="00AE680C"/>
    <w:rsid w:val="00AE77EC"/>
    <w:rsid w:val="00AF0C90"/>
    <w:rsid w:val="00AF0F6A"/>
    <w:rsid w:val="00AF104C"/>
    <w:rsid w:val="00AF2F02"/>
    <w:rsid w:val="00AF3EC8"/>
    <w:rsid w:val="00AF4087"/>
    <w:rsid w:val="00AF4508"/>
    <w:rsid w:val="00AF62A2"/>
    <w:rsid w:val="00AF665C"/>
    <w:rsid w:val="00AF777C"/>
    <w:rsid w:val="00B00A65"/>
    <w:rsid w:val="00B0290A"/>
    <w:rsid w:val="00B03988"/>
    <w:rsid w:val="00B03CDF"/>
    <w:rsid w:val="00B03D2C"/>
    <w:rsid w:val="00B03D70"/>
    <w:rsid w:val="00B03E16"/>
    <w:rsid w:val="00B0489B"/>
    <w:rsid w:val="00B06239"/>
    <w:rsid w:val="00B10A7F"/>
    <w:rsid w:val="00B10D78"/>
    <w:rsid w:val="00B111B6"/>
    <w:rsid w:val="00B11A60"/>
    <w:rsid w:val="00B11F66"/>
    <w:rsid w:val="00B12F86"/>
    <w:rsid w:val="00B1312E"/>
    <w:rsid w:val="00B144EE"/>
    <w:rsid w:val="00B1536F"/>
    <w:rsid w:val="00B15B88"/>
    <w:rsid w:val="00B15EAC"/>
    <w:rsid w:val="00B17EAC"/>
    <w:rsid w:val="00B20818"/>
    <w:rsid w:val="00B212A7"/>
    <w:rsid w:val="00B21AB0"/>
    <w:rsid w:val="00B2201C"/>
    <w:rsid w:val="00B22B19"/>
    <w:rsid w:val="00B22F6F"/>
    <w:rsid w:val="00B237F6"/>
    <w:rsid w:val="00B24BCD"/>
    <w:rsid w:val="00B2587D"/>
    <w:rsid w:val="00B25F9B"/>
    <w:rsid w:val="00B26B27"/>
    <w:rsid w:val="00B26FCD"/>
    <w:rsid w:val="00B2745B"/>
    <w:rsid w:val="00B30CA8"/>
    <w:rsid w:val="00B30DAC"/>
    <w:rsid w:val="00B31A84"/>
    <w:rsid w:val="00B31E78"/>
    <w:rsid w:val="00B3218C"/>
    <w:rsid w:val="00B32838"/>
    <w:rsid w:val="00B32EF2"/>
    <w:rsid w:val="00B3319D"/>
    <w:rsid w:val="00B33ED9"/>
    <w:rsid w:val="00B36163"/>
    <w:rsid w:val="00B401E7"/>
    <w:rsid w:val="00B40525"/>
    <w:rsid w:val="00B4138D"/>
    <w:rsid w:val="00B419DF"/>
    <w:rsid w:val="00B41B86"/>
    <w:rsid w:val="00B41C24"/>
    <w:rsid w:val="00B41F22"/>
    <w:rsid w:val="00B426E4"/>
    <w:rsid w:val="00B428D8"/>
    <w:rsid w:val="00B429B7"/>
    <w:rsid w:val="00B42C89"/>
    <w:rsid w:val="00B43F1E"/>
    <w:rsid w:val="00B442EA"/>
    <w:rsid w:val="00B44E3C"/>
    <w:rsid w:val="00B44EF3"/>
    <w:rsid w:val="00B45F97"/>
    <w:rsid w:val="00B46471"/>
    <w:rsid w:val="00B47AB4"/>
    <w:rsid w:val="00B51997"/>
    <w:rsid w:val="00B52832"/>
    <w:rsid w:val="00B529A9"/>
    <w:rsid w:val="00B53A87"/>
    <w:rsid w:val="00B53C03"/>
    <w:rsid w:val="00B54133"/>
    <w:rsid w:val="00B5441D"/>
    <w:rsid w:val="00B54771"/>
    <w:rsid w:val="00B55A57"/>
    <w:rsid w:val="00B560C5"/>
    <w:rsid w:val="00B640D4"/>
    <w:rsid w:val="00B6461F"/>
    <w:rsid w:val="00B64DF5"/>
    <w:rsid w:val="00B65601"/>
    <w:rsid w:val="00B65E93"/>
    <w:rsid w:val="00B66A71"/>
    <w:rsid w:val="00B67226"/>
    <w:rsid w:val="00B67B97"/>
    <w:rsid w:val="00B714A8"/>
    <w:rsid w:val="00B71C12"/>
    <w:rsid w:val="00B7266F"/>
    <w:rsid w:val="00B7345F"/>
    <w:rsid w:val="00B74118"/>
    <w:rsid w:val="00B743A5"/>
    <w:rsid w:val="00B74692"/>
    <w:rsid w:val="00B74EC5"/>
    <w:rsid w:val="00B76BA5"/>
    <w:rsid w:val="00B76E7E"/>
    <w:rsid w:val="00B77701"/>
    <w:rsid w:val="00B8043C"/>
    <w:rsid w:val="00B83676"/>
    <w:rsid w:val="00B83C3F"/>
    <w:rsid w:val="00B85E40"/>
    <w:rsid w:val="00B86089"/>
    <w:rsid w:val="00B8613F"/>
    <w:rsid w:val="00B8764D"/>
    <w:rsid w:val="00B87B75"/>
    <w:rsid w:val="00B90520"/>
    <w:rsid w:val="00B90630"/>
    <w:rsid w:val="00B91300"/>
    <w:rsid w:val="00B929DC"/>
    <w:rsid w:val="00B932B8"/>
    <w:rsid w:val="00B93D12"/>
    <w:rsid w:val="00B94C1C"/>
    <w:rsid w:val="00B95603"/>
    <w:rsid w:val="00B959F3"/>
    <w:rsid w:val="00B96442"/>
    <w:rsid w:val="00B96754"/>
    <w:rsid w:val="00B96A60"/>
    <w:rsid w:val="00B96F85"/>
    <w:rsid w:val="00BA0AB8"/>
    <w:rsid w:val="00BA248F"/>
    <w:rsid w:val="00BA26C6"/>
    <w:rsid w:val="00BA294B"/>
    <w:rsid w:val="00BA4478"/>
    <w:rsid w:val="00BA461B"/>
    <w:rsid w:val="00BA4AC8"/>
    <w:rsid w:val="00BA4F09"/>
    <w:rsid w:val="00BA5B86"/>
    <w:rsid w:val="00BA615C"/>
    <w:rsid w:val="00BA7480"/>
    <w:rsid w:val="00BB194E"/>
    <w:rsid w:val="00BB1D35"/>
    <w:rsid w:val="00BB1EA4"/>
    <w:rsid w:val="00BB2A0F"/>
    <w:rsid w:val="00BB2C75"/>
    <w:rsid w:val="00BB2E36"/>
    <w:rsid w:val="00BB319C"/>
    <w:rsid w:val="00BB5917"/>
    <w:rsid w:val="00BB615D"/>
    <w:rsid w:val="00BB6CDE"/>
    <w:rsid w:val="00BB6D88"/>
    <w:rsid w:val="00BB6E57"/>
    <w:rsid w:val="00BB7179"/>
    <w:rsid w:val="00BB7402"/>
    <w:rsid w:val="00BB79BD"/>
    <w:rsid w:val="00BC016A"/>
    <w:rsid w:val="00BC19B5"/>
    <w:rsid w:val="00BC303F"/>
    <w:rsid w:val="00BC31DE"/>
    <w:rsid w:val="00BC426A"/>
    <w:rsid w:val="00BC42E8"/>
    <w:rsid w:val="00BC4D9D"/>
    <w:rsid w:val="00BC54EB"/>
    <w:rsid w:val="00BC5C2B"/>
    <w:rsid w:val="00BC6D95"/>
    <w:rsid w:val="00BD022B"/>
    <w:rsid w:val="00BD1D8D"/>
    <w:rsid w:val="00BD1FF9"/>
    <w:rsid w:val="00BD4335"/>
    <w:rsid w:val="00BD4477"/>
    <w:rsid w:val="00BD47DB"/>
    <w:rsid w:val="00BD4B96"/>
    <w:rsid w:val="00BD5817"/>
    <w:rsid w:val="00BD6A19"/>
    <w:rsid w:val="00BD70A3"/>
    <w:rsid w:val="00BD76A1"/>
    <w:rsid w:val="00BD7832"/>
    <w:rsid w:val="00BE1032"/>
    <w:rsid w:val="00BE156F"/>
    <w:rsid w:val="00BE179E"/>
    <w:rsid w:val="00BE4083"/>
    <w:rsid w:val="00BE415C"/>
    <w:rsid w:val="00BE4887"/>
    <w:rsid w:val="00BE4CB9"/>
    <w:rsid w:val="00BE4FB4"/>
    <w:rsid w:val="00BF0CE0"/>
    <w:rsid w:val="00BF0E7A"/>
    <w:rsid w:val="00BF1FB7"/>
    <w:rsid w:val="00BF221D"/>
    <w:rsid w:val="00BF27F9"/>
    <w:rsid w:val="00BF3D8B"/>
    <w:rsid w:val="00BF43E9"/>
    <w:rsid w:val="00BF50D3"/>
    <w:rsid w:val="00BF5152"/>
    <w:rsid w:val="00BF5402"/>
    <w:rsid w:val="00BF554E"/>
    <w:rsid w:val="00BF592E"/>
    <w:rsid w:val="00BF6B8F"/>
    <w:rsid w:val="00BF70FC"/>
    <w:rsid w:val="00BF7404"/>
    <w:rsid w:val="00BF7DCF"/>
    <w:rsid w:val="00BF7F68"/>
    <w:rsid w:val="00BF7FBD"/>
    <w:rsid w:val="00C004C1"/>
    <w:rsid w:val="00C02C61"/>
    <w:rsid w:val="00C02E8E"/>
    <w:rsid w:val="00C03A68"/>
    <w:rsid w:val="00C059C9"/>
    <w:rsid w:val="00C05B1C"/>
    <w:rsid w:val="00C07CD4"/>
    <w:rsid w:val="00C108D7"/>
    <w:rsid w:val="00C10AD6"/>
    <w:rsid w:val="00C10BF8"/>
    <w:rsid w:val="00C1204A"/>
    <w:rsid w:val="00C12E6B"/>
    <w:rsid w:val="00C12F3C"/>
    <w:rsid w:val="00C13111"/>
    <w:rsid w:val="00C14568"/>
    <w:rsid w:val="00C1575F"/>
    <w:rsid w:val="00C16AB1"/>
    <w:rsid w:val="00C16F5F"/>
    <w:rsid w:val="00C1733E"/>
    <w:rsid w:val="00C200B3"/>
    <w:rsid w:val="00C2109D"/>
    <w:rsid w:val="00C2163A"/>
    <w:rsid w:val="00C21653"/>
    <w:rsid w:val="00C2457F"/>
    <w:rsid w:val="00C247B1"/>
    <w:rsid w:val="00C25DE4"/>
    <w:rsid w:val="00C2733A"/>
    <w:rsid w:val="00C2747B"/>
    <w:rsid w:val="00C27853"/>
    <w:rsid w:val="00C27B09"/>
    <w:rsid w:val="00C302DA"/>
    <w:rsid w:val="00C30F9A"/>
    <w:rsid w:val="00C32645"/>
    <w:rsid w:val="00C327FA"/>
    <w:rsid w:val="00C33A4D"/>
    <w:rsid w:val="00C340BF"/>
    <w:rsid w:val="00C34D08"/>
    <w:rsid w:val="00C358DC"/>
    <w:rsid w:val="00C35E76"/>
    <w:rsid w:val="00C370A0"/>
    <w:rsid w:val="00C3726F"/>
    <w:rsid w:val="00C37436"/>
    <w:rsid w:val="00C3777C"/>
    <w:rsid w:val="00C37E57"/>
    <w:rsid w:val="00C41CA4"/>
    <w:rsid w:val="00C45118"/>
    <w:rsid w:val="00C457AB"/>
    <w:rsid w:val="00C45B0E"/>
    <w:rsid w:val="00C477E7"/>
    <w:rsid w:val="00C47F65"/>
    <w:rsid w:val="00C508FF"/>
    <w:rsid w:val="00C51622"/>
    <w:rsid w:val="00C51802"/>
    <w:rsid w:val="00C51DB2"/>
    <w:rsid w:val="00C529BD"/>
    <w:rsid w:val="00C52DC8"/>
    <w:rsid w:val="00C5454A"/>
    <w:rsid w:val="00C5460B"/>
    <w:rsid w:val="00C56859"/>
    <w:rsid w:val="00C57268"/>
    <w:rsid w:val="00C60AB4"/>
    <w:rsid w:val="00C621D8"/>
    <w:rsid w:val="00C62467"/>
    <w:rsid w:val="00C62F10"/>
    <w:rsid w:val="00C644CE"/>
    <w:rsid w:val="00C6472E"/>
    <w:rsid w:val="00C64C8C"/>
    <w:rsid w:val="00C661EB"/>
    <w:rsid w:val="00C7058D"/>
    <w:rsid w:val="00C71171"/>
    <w:rsid w:val="00C715A9"/>
    <w:rsid w:val="00C717DA"/>
    <w:rsid w:val="00C71838"/>
    <w:rsid w:val="00C7192E"/>
    <w:rsid w:val="00C73711"/>
    <w:rsid w:val="00C73940"/>
    <w:rsid w:val="00C739CB"/>
    <w:rsid w:val="00C73A01"/>
    <w:rsid w:val="00C747F3"/>
    <w:rsid w:val="00C7489A"/>
    <w:rsid w:val="00C74FA4"/>
    <w:rsid w:val="00C752A7"/>
    <w:rsid w:val="00C756C5"/>
    <w:rsid w:val="00C7573A"/>
    <w:rsid w:val="00C757DC"/>
    <w:rsid w:val="00C76C60"/>
    <w:rsid w:val="00C770B6"/>
    <w:rsid w:val="00C8064A"/>
    <w:rsid w:val="00C80DA8"/>
    <w:rsid w:val="00C81CB3"/>
    <w:rsid w:val="00C828CD"/>
    <w:rsid w:val="00C82A3B"/>
    <w:rsid w:val="00C83880"/>
    <w:rsid w:val="00C866F4"/>
    <w:rsid w:val="00C86F43"/>
    <w:rsid w:val="00C87AB1"/>
    <w:rsid w:val="00C90D41"/>
    <w:rsid w:val="00C918A3"/>
    <w:rsid w:val="00C92E78"/>
    <w:rsid w:val="00C94475"/>
    <w:rsid w:val="00C94D56"/>
    <w:rsid w:val="00C951B1"/>
    <w:rsid w:val="00C9594C"/>
    <w:rsid w:val="00C95ED5"/>
    <w:rsid w:val="00CA0873"/>
    <w:rsid w:val="00CA0DFA"/>
    <w:rsid w:val="00CA1557"/>
    <w:rsid w:val="00CA1F47"/>
    <w:rsid w:val="00CA3818"/>
    <w:rsid w:val="00CA3AB9"/>
    <w:rsid w:val="00CA4004"/>
    <w:rsid w:val="00CA4BD9"/>
    <w:rsid w:val="00CA5777"/>
    <w:rsid w:val="00CA5C79"/>
    <w:rsid w:val="00CA5EE6"/>
    <w:rsid w:val="00CA6220"/>
    <w:rsid w:val="00CA7371"/>
    <w:rsid w:val="00CA7404"/>
    <w:rsid w:val="00CB0259"/>
    <w:rsid w:val="00CB217C"/>
    <w:rsid w:val="00CB3560"/>
    <w:rsid w:val="00CB3F11"/>
    <w:rsid w:val="00CB4E9D"/>
    <w:rsid w:val="00CB65E5"/>
    <w:rsid w:val="00CB69AC"/>
    <w:rsid w:val="00CC11C9"/>
    <w:rsid w:val="00CC16BC"/>
    <w:rsid w:val="00CC1939"/>
    <w:rsid w:val="00CC1FAA"/>
    <w:rsid w:val="00CC3953"/>
    <w:rsid w:val="00CC39A6"/>
    <w:rsid w:val="00CC3C57"/>
    <w:rsid w:val="00CC3F00"/>
    <w:rsid w:val="00CC40C2"/>
    <w:rsid w:val="00CC441F"/>
    <w:rsid w:val="00CC4997"/>
    <w:rsid w:val="00CC6959"/>
    <w:rsid w:val="00CC6C56"/>
    <w:rsid w:val="00CC6F81"/>
    <w:rsid w:val="00CD0AB9"/>
    <w:rsid w:val="00CD2D72"/>
    <w:rsid w:val="00CD36CE"/>
    <w:rsid w:val="00CD4059"/>
    <w:rsid w:val="00CD4919"/>
    <w:rsid w:val="00CD5299"/>
    <w:rsid w:val="00CD5D66"/>
    <w:rsid w:val="00CD6AD0"/>
    <w:rsid w:val="00CD7F38"/>
    <w:rsid w:val="00CE07C1"/>
    <w:rsid w:val="00CE1372"/>
    <w:rsid w:val="00CE2CBC"/>
    <w:rsid w:val="00CE2E04"/>
    <w:rsid w:val="00CE3892"/>
    <w:rsid w:val="00CE38DE"/>
    <w:rsid w:val="00CE3ECF"/>
    <w:rsid w:val="00CE4C60"/>
    <w:rsid w:val="00CE58AB"/>
    <w:rsid w:val="00CE58F4"/>
    <w:rsid w:val="00CE60B7"/>
    <w:rsid w:val="00CE73DA"/>
    <w:rsid w:val="00CE794A"/>
    <w:rsid w:val="00CF13C5"/>
    <w:rsid w:val="00CF196D"/>
    <w:rsid w:val="00CF1CE8"/>
    <w:rsid w:val="00CF1F13"/>
    <w:rsid w:val="00CF2F96"/>
    <w:rsid w:val="00CF305E"/>
    <w:rsid w:val="00CF3B20"/>
    <w:rsid w:val="00CF4762"/>
    <w:rsid w:val="00CF667D"/>
    <w:rsid w:val="00CF6EBF"/>
    <w:rsid w:val="00D0082D"/>
    <w:rsid w:val="00D01201"/>
    <w:rsid w:val="00D01E7A"/>
    <w:rsid w:val="00D021E0"/>
    <w:rsid w:val="00D023F9"/>
    <w:rsid w:val="00D02995"/>
    <w:rsid w:val="00D04E7F"/>
    <w:rsid w:val="00D0510D"/>
    <w:rsid w:val="00D053A4"/>
    <w:rsid w:val="00D05BFF"/>
    <w:rsid w:val="00D060B9"/>
    <w:rsid w:val="00D0783E"/>
    <w:rsid w:val="00D079A3"/>
    <w:rsid w:val="00D07C67"/>
    <w:rsid w:val="00D07E04"/>
    <w:rsid w:val="00D102D1"/>
    <w:rsid w:val="00D10680"/>
    <w:rsid w:val="00D10EC1"/>
    <w:rsid w:val="00D10FDB"/>
    <w:rsid w:val="00D11B4C"/>
    <w:rsid w:val="00D14523"/>
    <w:rsid w:val="00D1511A"/>
    <w:rsid w:val="00D15303"/>
    <w:rsid w:val="00D15D20"/>
    <w:rsid w:val="00D15D63"/>
    <w:rsid w:val="00D16311"/>
    <w:rsid w:val="00D169BB"/>
    <w:rsid w:val="00D16D7A"/>
    <w:rsid w:val="00D1750C"/>
    <w:rsid w:val="00D209F4"/>
    <w:rsid w:val="00D21194"/>
    <w:rsid w:val="00D2185A"/>
    <w:rsid w:val="00D22326"/>
    <w:rsid w:val="00D22FAE"/>
    <w:rsid w:val="00D24480"/>
    <w:rsid w:val="00D24A34"/>
    <w:rsid w:val="00D26324"/>
    <w:rsid w:val="00D26414"/>
    <w:rsid w:val="00D270A9"/>
    <w:rsid w:val="00D271A3"/>
    <w:rsid w:val="00D27AD4"/>
    <w:rsid w:val="00D27F70"/>
    <w:rsid w:val="00D30250"/>
    <w:rsid w:val="00D30590"/>
    <w:rsid w:val="00D309D4"/>
    <w:rsid w:val="00D326EE"/>
    <w:rsid w:val="00D329B0"/>
    <w:rsid w:val="00D33252"/>
    <w:rsid w:val="00D33B8E"/>
    <w:rsid w:val="00D34894"/>
    <w:rsid w:val="00D34A2D"/>
    <w:rsid w:val="00D3625B"/>
    <w:rsid w:val="00D362A6"/>
    <w:rsid w:val="00D3646E"/>
    <w:rsid w:val="00D36BCA"/>
    <w:rsid w:val="00D3759C"/>
    <w:rsid w:val="00D378EF"/>
    <w:rsid w:val="00D37AAA"/>
    <w:rsid w:val="00D40680"/>
    <w:rsid w:val="00D40EC7"/>
    <w:rsid w:val="00D415B8"/>
    <w:rsid w:val="00D42233"/>
    <w:rsid w:val="00D4258F"/>
    <w:rsid w:val="00D43942"/>
    <w:rsid w:val="00D43A3B"/>
    <w:rsid w:val="00D441AC"/>
    <w:rsid w:val="00D4460C"/>
    <w:rsid w:val="00D45C7B"/>
    <w:rsid w:val="00D46D26"/>
    <w:rsid w:val="00D4769B"/>
    <w:rsid w:val="00D47DE1"/>
    <w:rsid w:val="00D47EED"/>
    <w:rsid w:val="00D47FDC"/>
    <w:rsid w:val="00D501C0"/>
    <w:rsid w:val="00D51328"/>
    <w:rsid w:val="00D513BD"/>
    <w:rsid w:val="00D5173F"/>
    <w:rsid w:val="00D51D0C"/>
    <w:rsid w:val="00D5202D"/>
    <w:rsid w:val="00D53097"/>
    <w:rsid w:val="00D54FE3"/>
    <w:rsid w:val="00D5637F"/>
    <w:rsid w:val="00D60068"/>
    <w:rsid w:val="00D60DA2"/>
    <w:rsid w:val="00D60EE8"/>
    <w:rsid w:val="00D6189C"/>
    <w:rsid w:val="00D6278D"/>
    <w:rsid w:val="00D62AF7"/>
    <w:rsid w:val="00D62DD2"/>
    <w:rsid w:val="00D6493C"/>
    <w:rsid w:val="00D6534A"/>
    <w:rsid w:val="00D65A77"/>
    <w:rsid w:val="00D65B10"/>
    <w:rsid w:val="00D65E41"/>
    <w:rsid w:val="00D66F8F"/>
    <w:rsid w:val="00D67840"/>
    <w:rsid w:val="00D67BB1"/>
    <w:rsid w:val="00D67F98"/>
    <w:rsid w:val="00D7047D"/>
    <w:rsid w:val="00D70660"/>
    <w:rsid w:val="00D714F8"/>
    <w:rsid w:val="00D72623"/>
    <w:rsid w:val="00D73742"/>
    <w:rsid w:val="00D73CBF"/>
    <w:rsid w:val="00D745F6"/>
    <w:rsid w:val="00D75F44"/>
    <w:rsid w:val="00D763C3"/>
    <w:rsid w:val="00D77C65"/>
    <w:rsid w:val="00D80F87"/>
    <w:rsid w:val="00D81228"/>
    <w:rsid w:val="00D82493"/>
    <w:rsid w:val="00D82E69"/>
    <w:rsid w:val="00D833D1"/>
    <w:rsid w:val="00D83C09"/>
    <w:rsid w:val="00D84B28"/>
    <w:rsid w:val="00D84C48"/>
    <w:rsid w:val="00D86455"/>
    <w:rsid w:val="00D91291"/>
    <w:rsid w:val="00D91440"/>
    <w:rsid w:val="00D91DCD"/>
    <w:rsid w:val="00D958DA"/>
    <w:rsid w:val="00D968FB"/>
    <w:rsid w:val="00D96C1A"/>
    <w:rsid w:val="00D97A94"/>
    <w:rsid w:val="00DA0509"/>
    <w:rsid w:val="00DA139B"/>
    <w:rsid w:val="00DA1816"/>
    <w:rsid w:val="00DA20B0"/>
    <w:rsid w:val="00DA2E32"/>
    <w:rsid w:val="00DA3C73"/>
    <w:rsid w:val="00DA46B2"/>
    <w:rsid w:val="00DA4CE1"/>
    <w:rsid w:val="00DA7571"/>
    <w:rsid w:val="00DA7E57"/>
    <w:rsid w:val="00DB05AA"/>
    <w:rsid w:val="00DB0F14"/>
    <w:rsid w:val="00DB1BB3"/>
    <w:rsid w:val="00DB212C"/>
    <w:rsid w:val="00DB2191"/>
    <w:rsid w:val="00DB3F52"/>
    <w:rsid w:val="00DB4016"/>
    <w:rsid w:val="00DB420C"/>
    <w:rsid w:val="00DB4499"/>
    <w:rsid w:val="00DB46B4"/>
    <w:rsid w:val="00DB56DD"/>
    <w:rsid w:val="00DB5D3C"/>
    <w:rsid w:val="00DB5E55"/>
    <w:rsid w:val="00DB668F"/>
    <w:rsid w:val="00DB6B7F"/>
    <w:rsid w:val="00DB77AB"/>
    <w:rsid w:val="00DC004A"/>
    <w:rsid w:val="00DC082B"/>
    <w:rsid w:val="00DC1ABA"/>
    <w:rsid w:val="00DC2554"/>
    <w:rsid w:val="00DC2DA7"/>
    <w:rsid w:val="00DC368B"/>
    <w:rsid w:val="00DC4395"/>
    <w:rsid w:val="00DC4721"/>
    <w:rsid w:val="00DC4D74"/>
    <w:rsid w:val="00DC52A6"/>
    <w:rsid w:val="00DC5779"/>
    <w:rsid w:val="00DC5CBD"/>
    <w:rsid w:val="00DD074F"/>
    <w:rsid w:val="00DD0865"/>
    <w:rsid w:val="00DD08EB"/>
    <w:rsid w:val="00DD0CD3"/>
    <w:rsid w:val="00DD1D3B"/>
    <w:rsid w:val="00DD24DB"/>
    <w:rsid w:val="00DD261F"/>
    <w:rsid w:val="00DD2B72"/>
    <w:rsid w:val="00DD2DFF"/>
    <w:rsid w:val="00DD46D8"/>
    <w:rsid w:val="00DD4D0E"/>
    <w:rsid w:val="00DD5A0C"/>
    <w:rsid w:val="00DD6401"/>
    <w:rsid w:val="00DD7318"/>
    <w:rsid w:val="00DD7620"/>
    <w:rsid w:val="00DD78E6"/>
    <w:rsid w:val="00DE09D3"/>
    <w:rsid w:val="00DE2514"/>
    <w:rsid w:val="00DE26E6"/>
    <w:rsid w:val="00DE3B09"/>
    <w:rsid w:val="00DE4EE2"/>
    <w:rsid w:val="00DE5537"/>
    <w:rsid w:val="00DE5E86"/>
    <w:rsid w:val="00DE5EF9"/>
    <w:rsid w:val="00DE692E"/>
    <w:rsid w:val="00DE778D"/>
    <w:rsid w:val="00DE786C"/>
    <w:rsid w:val="00DF01FB"/>
    <w:rsid w:val="00DF05A5"/>
    <w:rsid w:val="00DF070D"/>
    <w:rsid w:val="00DF1285"/>
    <w:rsid w:val="00DF2287"/>
    <w:rsid w:val="00DF2500"/>
    <w:rsid w:val="00DF2D21"/>
    <w:rsid w:val="00DF2FDE"/>
    <w:rsid w:val="00DF3B91"/>
    <w:rsid w:val="00DF3E8F"/>
    <w:rsid w:val="00DF4D02"/>
    <w:rsid w:val="00DF4F2E"/>
    <w:rsid w:val="00DF51B4"/>
    <w:rsid w:val="00DF61A6"/>
    <w:rsid w:val="00DF6371"/>
    <w:rsid w:val="00DF7233"/>
    <w:rsid w:val="00E01B89"/>
    <w:rsid w:val="00E01CD2"/>
    <w:rsid w:val="00E027D9"/>
    <w:rsid w:val="00E03360"/>
    <w:rsid w:val="00E03BAE"/>
    <w:rsid w:val="00E03DAC"/>
    <w:rsid w:val="00E04332"/>
    <w:rsid w:val="00E04D89"/>
    <w:rsid w:val="00E0503A"/>
    <w:rsid w:val="00E06112"/>
    <w:rsid w:val="00E06D1E"/>
    <w:rsid w:val="00E07A45"/>
    <w:rsid w:val="00E108B8"/>
    <w:rsid w:val="00E11565"/>
    <w:rsid w:val="00E1164B"/>
    <w:rsid w:val="00E11FFB"/>
    <w:rsid w:val="00E12ADB"/>
    <w:rsid w:val="00E14E7C"/>
    <w:rsid w:val="00E15249"/>
    <w:rsid w:val="00E16D8A"/>
    <w:rsid w:val="00E17059"/>
    <w:rsid w:val="00E179C7"/>
    <w:rsid w:val="00E17B8C"/>
    <w:rsid w:val="00E2082C"/>
    <w:rsid w:val="00E20B6E"/>
    <w:rsid w:val="00E22886"/>
    <w:rsid w:val="00E23C07"/>
    <w:rsid w:val="00E2433F"/>
    <w:rsid w:val="00E24737"/>
    <w:rsid w:val="00E252DB"/>
    <w:rsid w:val="00E25665"/>
    <w:rsid w:val="00E2592E"/>
    <w:rsid w:val="00E265DF"/>
    <w:rsid w:val="00E26F26"/>
    <w:rsid w:val="00E279C0"/>
    <w:rsid w:val="00E308AC"/>
    <w:rsid w:val="00E3102A"/>
    <w:rsid w:val="00E31BA7"/>
    <w:rsid w:val="00E31DD5"/>
    <w:rsid w:val="00E31F02"/>
    <w:rsid w:val="00E32D85"/>
    <w:rsid w:val="00E337B1"/>
    <w:rsid w:val="00E33A40"/>
    <w:rsid w:val="00E33B1B"/>
    <w:rsid w:val="00E349C5"/>
    <w:rsid w:val="00E34DB3"/>
    <w:rsid w:val="00E3552C"/>
    <w:rsid w:val="00E3590B"/>
    <w:rsid w:val="00E41C5D"/>
    <w:rsid w:val="00E428E8"/>
    <w:rsid w:val="00E439EF"/>
    <w:rsid w:val="00E43B61"/>
    <w:rsid w:val="00E44989"/>
    <w:rsid w:val="00E44B72"/>
    <w:rsid w:val="00E456E5"/>
    <w:rsid w:val="00E45C0C"/>
    <w:rsid w:val="00E45C4C"/>
    <w:rsid w:val="00E50360"/>
    <w:rsid w:val="00E50576"/>
    <w:rsid w:val="00E519BC"/>
    <w:rsid w:val="00E51C32"/>
    <w:rsid w:val="00E51DA2"/>
    <w:rsid w:val="00E51EE2"/>
    <w:rsid w:val="00E52F1D"/>
    <w:rsid w:val="00E53C20"/>
    <w:rsid w:val="00E54719"/>
    <w:rsid w:val="00E5553A"/>
    <w:rsid w:val="00E569A8"/>
    <w:rsid w:val="00E603B5"/>
    <w:rsid w:val="00E60A34"/>
    <w:rsid w:val="00E62ACD"/>
    <w:rsid w:val="00E632B0"/>
    <w:rsid w:val="00E64741"/>
    <w:rsid w:val="00E6537F"/>
    <w:rsid w:val="00E655F7"/>
    <w:rsid w:val="00E6561F"/>
    <w:rsid w:val="00E65D2A"/>
    <w:rsid w:val="00E679C8"/>
    <w:rsid w:val="00E7039F"/>
    <w:rsid w:val="00E70BAC"/>
    <w:rsid w:val="00E71019"/>
    <w:rsid w:val="00E71252"/>
    <w:rsid w:val="00E71BB5"/>
    <w:rsid w:val="00E72186"/>
    <w:rsid w:val="00E7250C"/>
    <w:rsid w:val="00E72E17"/>
    <w:rsid w:val="00E73A7A"/>
    <w:rsid w:val="00E74103"/>
    <w:rsid w:val="00E741D6"/>
    <w:rsid w:val="00E74B85"/>
    <w:rsid w:val="00E74E7C"/>
    <w:rsid w:val="00E75C96"/>
    <w:rsid w:val="00E76032"/>
    <w:rsid w:val="00E76635"/>
    <w:rsid w:val="00E77596"/>
    <w:rsid w:val="00E77952"/>
    <w:rsid w:val="00E8009E"/>
    <w:rsid w:val="00E803B4"/>
    <w:rsid w:val="00E80600"/>
    <w:rsid w:val="00E80960"/>
    <w:rsid w:val="00E81E0A"/>
    <w:rsid w:val="00E8398D"/>
    <w:rsid w:val="00E856EA"/>
    <w:rsid w:val="00E85D5C"/>
    <w:rsid w:val="00E860DC"/>
    <w:rsid w:val="00E86351"/>
    <w:rsid w:val="00E869E2"/>
    <w:rsid w:val="00E86B7D"/>
    <w:rsid w:val="00E875A7"/>
    <w:rsid w:val="00E9041C"/>
    <w:rsid w:val="00E9065F"/>
    <w:rsid w:val="00E90AED"/>
    <w:rsid w:val="00E90CB6"/>
    <w:rsid w:val="00E92A11"/>
    <w:rsid w:val="00E930F3"/>
    <w:rsid w:val="00E93C21"/>
    <w:rsid w:val="00E93E3D"/>
    <w:rsid w:val="00E93F30"/>
    <w:rsid w:val="00E9415D"/>
    <w:rsid w:val="00E9526A"/>
    <w:rsid w:val="00E95541"/>
    <w:rsid w:val="00E95A25"/>
    <w:rsid w:val="00E96824"/>
    <w:rsid w:val="00E9794B"/>
    <w:rsid w:val="00EA117C"/>
    <w:rsid w:val="00EA35C2"/>
    <w:rsid w:val="00EA3BCA"/>
    <w:rsid w:val="00EA3F31"/>
    <w:rsid w:val="00EA4439"/>
    <w:rsid w:val="00EA4C0A"/>
    <w:rsid w:val="00EA4E93"/>
    <w:rsid w:val="00EA5237"/>
    <w:rsid w:val="00EA5543"/>
    <w:rsid w:val="00EA6069"/>
    <w:rsid w:val="00EA64A6"/>
    <w:rsid w:val="00EA64B0"/>
    <w:rsid w:val="00EA650D"/>
    <w:rsid w:val="00EA7693"/>
    <w:rsid w:val="00EA77ED"/>
    <w:rsid w:val="00EA7F34"/>
    <w:rsid w:val="00EB00B5"/>
    <w:rsid w:val="00EB0D98"/>
    <w:rsid w:val="00EB2120"/>
    <w:rsid w:val="00EB233E"/>
    <w:rsid w:val="00EB2BEF"/>
    <w:rsid w:val="00EB4716"/>
    <w:rsid w:val="00EB4943"/>
    <w:rsid w:val="00EB662A"/>
    <w:rsid w:val="00EB6B31"/>
    <w:rsid w:val="00EB6B33"/>
    <w:rsid w:val="00EC0EE0"/>
    <w:rsid w:val="00EC1449"/>
    <w:rsid w:val="00EC1880"/>
    <w:rsid w:val="00EC2599"/>
    <w:rsid w:val="00EC2871"/>
    <w:rsid w:val="00EC3258"/>
    <w:rsid w:val="00EC4F89"/>
    <w:rsid w:val="00EC5879"/>
    <w:rsid w:val="00EC6D2E"/>
    <w:rsid w:val="00ED0D1C"/>
    <w:rsid w:val="00ED1C4E"/>
    <w:rsid w:val="00ED206D"/>
    <w:rsid w:val="00ED2945"/>
    <w:rsid w:val="00ED35E3"/>
    <w:rsid w:val="00ED48A3"/>
    <w:rsid w:val="00EE0C6A"/>
    <w:rsid w:val="00EE182E"/>
    <w:rsid w:val="00EE1887"/>
    <w:rsid w:val="00EE2886"/>
    <w:rsid w:val="00EE2C7A"/>
    <w:rsid w:val="00EE356F"/>
    <w:rsid w:val="00EE371A"/>
    <w:rsid w:val="00EE4CB0"/>
    <w:rsid w:val="00EE4E2F"/>
    <w:rsid w:val="00EE5733"/>
    <w:rsid w:val="00EE611E"/>
    <w:rsid w:val="00EE64C5"/>
    <w:rsid w:val="00EE65BC"/>
    <w:rsid w:val="00EE762D"/>
    <w:rsid w:val="00EF27FC"/>
    <w:rsid w:val="00EF2920"/>
    <w:rsid w:val="00EF4198"/>
    <w:rsid w:val="00EF4D00"/>
    <w:rsid w:val="00EF59FE"/>
    <w:rsid w:val="00EF5CFE"/>
    <w:rsid w:val="00EF723A"/>
    <w:rsid w:val="00EF75C5"/>
    <w:rsid w:val="00EF7CB4"/>
    <w:rsid w:val="00EF7F1E"/>
    <w:rsid w:val="00EF7FD5"/>
    <w:rsid w:val="00F008C7"/>
    <w:rsid w:val="00F02A7F"/>
    <w:rsid w:val="00F03779"/>
    <w:rsid w:val="00F03AFE"/>
    <w:rsid w:val="00F03CF8"/>
    <w:rsid w:val="00F050F0"/>
    <w:rsid w:val="00F0510B"/>
    <w:rsid w:val="00F066EC"/>
    <w:rsid w:val="00F0782E"/>
    <w:rsid w:val="00F1008F"/>
    <w:rsid w:val="00F104DA"/>
    <w:rsid w:val="00F10564"/>
    <w:rsid w:val="00F1149C"/>
    <w:rsid w:val="00F11646"/>
    <w:rsid w:val="00F12652"/>
    <w:rsid w:val="00F12CBF"/>
    <w:rsid w:val="00F13058"/>
    <w:rsid w:val="00F13F82"/>
    <w:rsid w:val="00F15D6B"/>
    <w:rsid w:val="00F15DBD"/>
    <w:rsid w:val="00F15FF5"/>
    <w:rsid w:val="00F168B3"/>
    <w:rsid w:val="00F16D9F"/>
    <w:rsid w:val="00F17273"/>
    <w:rsid w:val="00F200FC"/>
    <w:rsid w:val="00F20500"/>
    <w:rsid w:val="00F22564"/>
    <w:rsid w:val="00F2270F"/>
    <w:rsid w:val="00F22D48"/>
    <w:rsid w:val="00F2314F"/>
    <w:rsid w:val="00F233CF"/>
    <w:rsid w:val="00F251D9"/>
    <w:rsid w:val="00F25D4F"/>
    <w:rsid w:val="00F26517"/>
    <w:rsid w:val="00F268E9"/>
    <w:rsid w:val="00F26BB3"/>
    <w:rsid w:val="00F26FD9"/>
    <w:rsid w:val="00F27FB5"/>
    <w:rsid w:val="00F300B9"/>
    <w:rsid w:val="00F30E00"/>
    <w:rsid w:val="00F31AAC"/>
    <w:rsid w:val="00F31E4B"/>
    <w:rsid w:val="00F32252"/>
    <w:rsid w:val="00F333D0"/>
    <w:rsid w:val="00F34669"/>
    <w:rsid w:val="00F34E96"/>
    <w:rsid w:val="00F35613"/>
    <w:rsid w:val="00F3650F"/>
    <w:rsid w:val="00F4035B"/>
    <w:rsid w:val="00F40C42"/>
    <w:rsid w:val="00F4229F"/>
    <w:rsid w:val="00F45161"/>
    <w:rsid w:val="00F466CA"/>
    <w:rsid w:val="00F47980"/>
    <w:rsid w:val="00F50EAE"/>
    <w:rsid w:val="00F5111F"/>
    <w:rsid w:val="00F51B90"/>
    <w:rsid w:val="00F52C45"/>
    <w:rsid w:val="00F53C96"/>
    <w:rsid w:val="00F53F1B"/>
    <w:rsid w:val="00F54504"/>
    <w:rsid w:val="00F55EE8"/>
    <w:rsid w:val="00F566A5"/>
    <w:rsid w:val="00F56BDB"/>
    <w:rsid w:val="00F56C3E"/>
    <w:rsid w:val="00F56EE6"/>
    <w:rsid w:val="00F57AFF"/>
    <w:rsid w:val="00F606E0"/>
    <w:rsid w:val="00F617EC"/>
    <w:rsid w:val="00F61821"/>
    <w:rsid w:val="00F62BB2"/>
    <w:rsid w:val="00F62CCE"/>
    <w:rsid w:val="00F6438B"/>
    <w:rsid w:val="00F64DC9"/>
    <w:rsid w:val="00F6533F"/>
    <w:rsid w:val="00F65738"/>
    <w:rsid w:val="00F659B1"/>
    <w:rsid w:val="00F661EF"/>
    <w:rsid w:val="00F663FB"/>
    <w:rsid w:val="00F66EBE"/>
    <w:rsid w:val="00F71309"/>
    <w:rsid w:val="00F716B0"/>
    <w:rsid w:val="00F7187F"/>
    <w:rsid w:val="00F72D77"/>
    <w:rsid w:val="00F735E2"/>
    <w:rsid w:val="00F74A83"/>
    <w:rsid w:val="00F752C9"/>
    <w:rsid w:val="00F75F9D"/>
    <w:rsid w:val="00F77984"/>
    <w:rsid w:val="00F77BB4"/>
    <w:rsid w:val="00F816FB"/>
    <w:rsid w:val="00F81EEC"/>
    <w:rsid w:val="00F85E3B"/>
    <w:rsid w:val="00F86383"/>
    <w:rsid w:val="00F867C7"/>
    <w:rsid w:val="00F86CA0"/>
    <w:rsid w:val="00F86EA2"/>
    <w:rsid w:val="00F86EC4"/>
    <w:rsid w:val="00F8770C"/>
    <w:rsid w:val="00F908A6"/>
    <w:rsid w:val="00F90FE6"/>
    <w:rsid w:val="00F916E7"/>
    <w:rsid w:val="00F930E0"/>
    <w:rsid w:val="00F95C38"/>
    <w:rsid w:val="00F96718"/>
    <w:rsid w:val="00FA067B"/>
    <w:rsid w:val="00FA1FA3"/>
    <w:rsid w:val="00FA20D4"/>
    <w:rsid w:val="00FA3BB4"/>
    <w:rsid w:val="00FA4666"/>
    <w:rsid w:val="00FA4BE2"/>
    <w:rsid w:val="00FA5037"/>
    <w:rsid w:val="00FA5D8C"/>
    <w:rsid w:val="00FA6B78"/>
    <w:rsid w:val="00FA6F86"/>
    <w:rsid w:val="00FA71E8"/>
    <w:rsid w:val="00FA7AF3"/>
    <w:rsid w:val="00FB0E7D"/>
    <w:rsid w:val="00FB33A1"/>
    <w:rsid w:val="00FB36BD"/>
    <w:rsid w:val="00FB36CB"/>
    <w:rsid w:val="00FB3A69"/>
    <w:rsid w:val="00FB3BF3"/>
    <w:rsid w:val="00FB4555"/>
    <w:rsid w:val="00FB584D"/>
    <w:rsid w:val="00FB5D24"/>
    <w:rsid w:val="00FB5F9C"/>
    <w:rsid w:val="00FB5FFB"/>
    <w:rsid w:val="00FB60E2"/>
    <w:rsid w:val="00FB7D94"/>
    <w:rsid w:val="00FC0358"/>
    <w:rsid w:val="00FC08C7"/>
    <w:rsid w:val="00FC34AE"/>
    <w:rsid w:val="00FC35AA"/>
    <w:rsid w:val="00FC386E"/>
    <w:rsid w:val="00FC3B4A"/>
    <w:rsid w:val="00FC5989"/>
    <w:rsid w:val="00FC5F08"/>
    <w:rsid w:val="00FC5F0D"/>
    <w:rsid w:val="00FC614B"/>
    <w:rsid w:val="00FC621C"/>
    <w:rsid w:val="00FC6714"/>
    <w:rsid w:val="00FC6A78"/>
    <w:rsid w:val="00FC7B3C"/>
    <w:rsid w:val="00FC7E5A"/>
    <w:rsid w:val="00FD02D2"/>
    <w:rsid w:val="00FD0464"/>
    <w:rsid w:val="00FD0EFF"/>
    <w:rsid w:val="00FD12BD"/>
    <w:rsid w:val="00FD1560"/>
    <w:rsid w:val="00FD1660"/>
    <w:rsid w:val="00FD2332"/>
    <w:rsid w:val="00FD2F64"/>
    <w:rsid w:val="00FD3454"/>
    <w:rsid w:val="00FD3995"/>
    <w:rsid w:val="00FD4CE2"/>
    <w:rsid w:val="00FD52A8"/>
    <w:rsid w:val="00FD549A"/>
    <w:rsid w:val="00FD5CB6"/>
    <w:rsid w:val="00FD5EFB"/>
    <w:rsid w:val="00FD5FB9"/>
    <w:rsid w:val="00FD6003"/>
    <w:rsid w:val="00FE0715"/>
    <w:rsid w:val="00FE12CF"/>
    <w:rsid w:val="00FE16A1"/>
    <w:rsid w:val="00FE1B39"/>
    <w:rsid w:val="00FE321D"/>
    <w:rsid w:val="00FE45A9"/>
    <w:rsid w:val="00FE5956"/>
    <w:rsid w:val="00FE5F61"/>
    <w:rsid w:val="00FE60C9"/>
    <w:rsid w:val="00FE7706"/>
    <w:rsid w:val="00FF0E2D"/>
    <w:rsid w:val="00FF497A"/>
    <w:rsid w:val="00FF4BCB"/>
    <w:rsid w:val="00FF4E14"/>
    <w:rsid w:val="00FF51A3"/>
    <w:rsid w:val="00FF5AB0"/>
    <w:rsid w:val="00FF5B56"/>
    <w:rsid w:val="00FF608B"/>
    <w:rsid w:val="00FF6BA8"/>
    <w:rsid w:val="00FF6D42"/>
    <w:rsid w:val="00FF7BB2"/>
    <w:rsid w:val="00FF7F43"/>
    <w:rsid w:val="10A522DE"/>
    <w:rsid w:val="1BDA2E66"/>
    <w:rsid w:val="1FC4BF15"/>
    <w:rsid w:val="23D4669A"/>
    <w:rsid w:val="515141F1"/>
    <w:rsid w:val="6FF0E592"/>
    <w:rsid w:val="7D64F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FDEEC"/>
  <w15:chartTrackingRefBased/>
  <w15:docId w15:val="{300F3F7A-3FF4-4FAE-ADB9-24F57C02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011"/>
    <w:pPr>
      <w:spacing w:after="240" w:line="276" w:lineRule="auto"/>
    </w:pPr>
    <w:rPr>
      <w:rFonts w:ascii="Calibri" w:hAnsi="Calibri"/>
      <w:color w:val="464646" w:themeColor="text1"/>
      <w:sz w:val="24"/>
    </w:rPr>
  </w:style>
  <w:style w:type="paragraph" w:styleId="Heading1">
    <w:name w:val="heading 1"/>
    <w:basedOn w:val="Normal"/>
    <w:next w:val="Normal"/>
    <w:link w:val="Heading1Char"/>
    <w:uiPriority w:val="9"/>
    <w:qFormat/>
    <w:rsid w:val="00881EAA"/>
    <w:pPr>
      <w:keepNext/>
      <w:keepLines/>
      <w:spacing w:before="240" w:after="120"/>
      <w:outlineLvl w:val="0"/>
    </w:pPr>
    <w:rPr>
      <w:rFonts w:asciiTheme="majorHAnsi" w:eastAsiaTheme="majorEastAsia" w:hAnsiTheme="majorHAnsi" w:cstheme="majorBidi"/>
      <w:b/>
      <w:color w:val="003F5F" w:themeColor="text2"/>
      <w:sz w:val="32"/>
      <w:szCs w:val="32"/>
    </w:rPr>
  </w:style>
  <w:style w:type="paragraph" w:styleId="Heading2">
    <w:name w:val="heading 2"/>
    <w:basedOn w:val="Normal"/>
    <w:next w:val="Normal"/>
    <w:link w:val="Heading2Char"/>
    <w:uiPriority w:val="9"/>
    <w:unhideWhenUsed/>
    <w:qFormat/>
    <w:rsid w:val="00881EAA"/>
    <w:pPr>
      <w:keepNext/>
      <w:keepLines/>
      <w:spacing w:before="160" w:after="120"/>
      <w:outlineLvl w:val="1"/>
    </w:pPr>
    <w:rPr>
      <w:rFonts w:asciiTheme="majorHAnsi" w:eastAsiaTheme="majorEastAsia" w:hAnsiTheme="majorHAnsi" w:cstheme="majorBidi"/>
      <w:color w:val="003F5F" w:themeColor="text2"/>
      <w:sz w:val="28"/>
      <w:szCs w:val="26"/>
    </w:rPr>
  </w:style>
  <w:style w:type="paragraph" w:styleId="Heading3">
    <w:name w:val="heading 3"/>
    <w:basedOn w:val="Normal"/>
    <w:next w:val="Normal"/>
    <w:link w:val="Heading3Char"/>
    <w:uiPriority w:val="9"/>
    <w:unhideWhenUsed/>
    <w:qFormat/>
    <w:rsid w:val="007A5F8C"/>
    <w:pPr>
      <w:keepNext/>
      <w:keepLines/>
      <w:spacing w:before="120" w:after="120"/>
      <w:outlineLvl w:val="2"/>
    </w:pPr>
    <w:rPr>
      <w:rFonts w:asciiTheme="majorHAnsi" w:eastAsiaTheme="majorEastAsia" w:hAnsiTheme="majorHAnsi" w:cstheme="majorBidi"/>
      <w:color w:val="1C788E" w:themeColor="accent1" w:themeShade="80"/>
      <w:szCs w:val="24"/>
    </w:rPr>
  </w:style>
  <w:style w:type="paragraph" w:styleId="Heading4">
    <w:name w:val="heading 4"/>
    <w:basedOn w:val="Normal"/>
    <w:next w:val="Normal"/>
    <w:link w:val="Heading4Char"/>
    <w:uiPriority w:val="9"/>
    <w:semiHidden/>
    <w:unhideWhenUsed/>
    <w:rsid w:val="003228A3"/>
    <w:pPr>
      <w:keepNext/>
      <w:keepLines/>
      <w:spacing w:before="40"/>
      <w:outlineLvl w:val="3"/>
    </w:pPr>
    <w:rPr>
      <w:rFonts w:asciiTheme="majorHAnsi" w:eastAsiaTheme="majorEastAsia" w:hAnsiTheme="majorHAnsi" w:cstheme="majorBidi"/>
      <w:i/>
      <w:iCs/>
      <w:color w:val="29B3D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C17"/>
    <w:pPr>
      <w:tabs>
        <w:tab w:val="center" w:pos="4680"/>
        <w:tab w:val="right" w:pos="9360"/>
      </w:tabs>
      <w:spacing w:line="240" w:lineRule="auto"/>
    </w:pPr>
  </w:style>
  <w:style w:type="character" w:customStyle="1" w:styleId="HeaderChar">
    <w:name w:val="Header Char"/>
    <w:basedOn w:val="DefaultParagraphFont"/>
    <w:link w:val="Header"/>
    <w:uiPriority w:val="99"/>
    <w:rsid w:val="00A51C17"/>
  </w:style>
  <w:style w:type="paragraph" w:styleId="Footer">
    <w:name w:val="footer"/>
    <w:basedOn w:val="Normal"/>
    <w:link w:val="FooterChar"/>
    <w:uiPriority w:val="99"/>
    <w:unhideWhenUsed/>
    <w:rsid w:val="00A51C17"/>
    <w:pPr>
      <w:tabs>
        <w:tab w:val="center" w:pos="4680"/>
        <w:tab w:val="right" w:pos="9360"/>
      </w:tabs>
      <w:spacing w:line="240" w:lineRule="auto"/>
    </w:pPr>
  </w:style>
  <w:style w:type="character" w:customStyle="1" w:styleId="FooterChar">
    <w:name w:val="Footer Char"/>
    <w:basedOn w:val="DefaultParagraphFont"/>
    <w:link w:val="Footer"/>
    <w:uiPriority w:val="99"/>
    <w:rsid w:val="00A51C17"/>
  </w:style>
  <w:style w:type="paragraph" w:styleId="NormalWeb">
    <w:name w:val="Normal (Web)"/>
    <w:basedOn w:val="Normal"/>
    <w:uiPriority w:val="99"/>
    <w:unhideWhenUsed/>
    <w:rsid w:val="00A51C17"/>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2163A"/>
    <w:pPr>
      <w:numPr>
        <w:numId w:val="2"/>
      </w:numPr>
      <w:contextualSpacing/>
    </w:pPr>
  </w:style>
  <w:style w:type="character" w:customStyle="1" w:styleId="Heading1Char">
    <w:name w:val="Heading 1 Char"/>
    <w:basedOn w:val="DefaultParagraphFont"/>
    <w:link w:val="Heading1"/>
    <w:uiPriority w:val="9"/>
    <w:rsid w:val="00881EAA"/>
    <w:rPr>
      <w:rFonts w:asciiTheme="majorHAnsi" w:eastAsiaTheme="majorEastAsia" w:hAnsiTheme="majorHAnsi" w:cstheme="majorBidi"/>
      <w:b/>
      <w:color w:val="003F5F" w:themeColor="text2"/>
      <w:sz w:val="32"/>
      <w:szCs w:val="32"/>
    </w:rPr>
  </w:style>
  <w:style w:type="character" w:customStyle="1" w:styleId="Heading2Char">
    <w:name w:val="Heading 2 Char"/>
    <w:basedOn w:val="DefaultParagraphFont"/>
    <w:link w:val="Heading2"/>
    <w:uiPriority w:val="9"/>
    <w:rsid w:val="00881EAA"/>
    <w:rPr>
      <w:rFonts w:asciiTheme="majorHAnsi" w:eastAsiaTheme="majorEastAsia" w:hAnsiTheme="majorHAnsi" w:cstheme="majorBidi"/>
      <w:color w:val="003F5F" w:themeColor="text2"/>
      <w:sz w:val="28"/>
      <w:szCs w:val="26"/>
    </w:rPr>
  </w:style>
  <w:style w:type="character" w:customStyle="1" w:styleId="Heading3Char">
    <w:name w:val="Heading 3 Char"/>
    <w:basedOn w:val="DefaultParagraphFont"/>
    <w:link w:val="Heading3"/>
    <w:uiPriority w:val="9"/>
    <w:rsid w:val="007A5F8C"/>
    <w:rPr>
      <w:rFonts w:asciiTheme="majorHAnsi" w:eastAsiaTheme="majorEastAsia" w:hAnsiTheme="majorHAnsi" w:cstheme="majorBidi"/>
      <w:color w:val="1C788E" w:themeColor="accent1" w:themeShade="80"/>
      <w:sz w:val="24"/>
      <w:szCs w:val="24"/>
    </w:rPr>
  </w:style>
  <w:style w:type="paragraph" w:styleId="Title">
    <w:name w:val="Title"/>
    <w:basedOn w:val="Normal"/>
    <w:next w:val="Normal"/>
    <w:link w:val="TitleChar"/>
    <w:uiPriority w:val="10"/>
    <w:qFormat/>
    <w:rsid w:val="0058622D"/>
    <w:pPr>
      <w:spacing w:line="240" w:lineRule="auto"/>
      <w:contextualSpacing/>
    </w:pPr>
    <w:rPr>
      <w:rFonts w:asciiTheme="majorHAnsi" w:eastAsiaTheme="majorEastAsia" w:hAnsiTheme="majorHAnsi" w:cstheme="majorBidi"/>
      <w:color w:val="003F5F" w:themeColor="accent3"/>
      <w:spacing w:val="-10"/>
      <w:kern w:val="28"/>
      <w:sz w:val="56"/>
      <w:szCs w:val="56"/>
    </w:rPr>
  </w:style>
  <w:style w:type="character" w:customStyle="1" w:styleId="TitleChar">
    <w:name w:val="Title Char"/>
    <w:basedOn w:val="DefaultParagraphFont"/>
    <w:link w:val="Title"/>
    <w:uiPriority w:val="10"/>
    <w:rsid w:val="0058622D"/>
    <w:rPr>
      <w:rFonts w:asciiTheme="majorHAnsi" w:eastAsiaTheme="majorEastAsia" w:hAnsiTheme="majorHAnsi" w:cstheme="majorBidi"/>
      <w:color w:val="003F5F" w:themeColor="accent3"/>
      <w:spacing w:val="-10"/>
      <w:kern w:val="28"/>
      <w:sz w:val="56"/>
      <w:szCs w:val="56"/>
    </w:rPr>
  </w:style>
  <w:style w:type="character" w:styleId="IntenseEmphasis">
    <w:name w:val="Intense Emphasis"/>
    <w:basedOn w:val="DefaultParagraphFont"/>
    <w:uiPriority w:val="21"/>
    <w:qFormat/>
    <w:rsid w:val="008F00CD"/>
    <w:rPr>
      <w:i/>
      <w:iCs/>
      <w:color w:val="70CDE3" w:themeColor="accent1"/>
    </w:rPr>
  </w:style>
  <w:style w:type="paragraph" w:styleId="BalloonText">
    <w:name w:val="Balloon Text"/>
    <w:basedOn w:val="Normal"/>
    <w:link w:val="BalloonTextChar"/>
    <w:uiPriority w:val="99"/>
    <w:semiHidden/>
    <w:unhideWhenUsed/>
    <w:rsid w:val="006E0D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D6F"/>
    <w:rPr>
      <w:rFonts w:ascii="Segoe UI" w:hAnsi="Segoe UI" w:cs="Segoe UI"/>
      <w:sz w:val="18"/>
      <w:szCs w:val="18"/>
    </w:rPr>
  </w:style>
  <w:style w:type="paragraph" w:styleId="IntenseQuote">
    <w:name w:val="Intense Quote"/>
    <w:aliases w:val="Quote Highlight"/>
    <w:basedOn w:val="Normal"/>
    <w:next w:val="Normal"/>
    <w:link w:val="IntenseQuoteChar"/>
    <w:uiPriority w:val="30"/>
    <w:qFormat/>
    <w:rsid w:val="003228A3"/>
    <w:pPr>
      <w:pBdr>
        <w:top w:val="single" w:sz="4" w:space="10" w:color="4FAD26" w:themeColor="accent2"/>
        <w:bottom w:val="single" w:sz="4" w:space="10" w:color="4FAD26" w:themeColor="accent2"/>
      </w:pBdr>
      <w:spacing w:before="360" w:after="360"/>
      <w:ind w:left="864" w:right="864"/>
      <w:jc w:val="center"/>
    </w:pPr>
    <w:rPr>
      <w:i/>
      <w:iCs/>
      <w:color w:val="4FAD26" w:themeColor="accent2"/>
    </w:rPr>
  </w:style>
  <w:style w:type="character" w:customStyle="1" w:styleId="IntenseQuoteChar">
    <w:name w:val="Intense Quote Char"/>
    <w:aliases w:val="Quote Highlight Char"/>
    <w:basedOn w:val="DefaultParagraphFont"/>
    <w:link w:val="IntenseQuote"/>
    <w:uiPriority w:val="30"/>
    <w:rsid w:val="003228A3"/>
    <w:rPr>
      <w:i/>
      <w:iCs/>
      <w:color w:val="4FAD26" w:themeColor="accent2"/>
      <w:sz w:val="24"/>
    </w:rPr>
  </w:style>
  <w:style w:type="paragraph" w:styleId="NoSpacing">
    <w:name w:val="No Spacing"/>
    <w:uiPriority w:val="1"/>
    <w:qFormat/>
    <w:rsid w:val="003228A3"/>
    <w:pPr>
      <w:spacing w:after="0" w:line="240" w:lineRule="auto"/>
    </w:pPr>
    <w:rPr>
      <w:color w:val="464646" w:themeColor="text1"/>
    </w:rPr>
  </w:style>
  <w:style w:type="character" w:customStyle="1" w:styleId="Heading4Char">
    <w:name w:val="Heading 4 Char"/>
    <w:basedOn w:val="DefaultParagraphFont"/>
    <w:link w:val="Heading4"/>
    <w:uiPriority w:val="9"/>
    <w:semiHidden/>
    <w:rsid w:val="003228A3"/>
    <w:rPr>
      <w:rFonts w:asciiTheme="majorHAnsi" w:eastAsiaTheme="majorEastAsia" w:hAnsiTheme="majorHAnsi" w:cstheme="majorBidi"/>
      <w:i/>
      <w:iCs/>
      <w:color w:val="29B3D4" w:themeColor="accent1" w:themeShade="BF"/>
    </w:rPr>
  </w:style>
  <w:style w:type="paragraph" w:styleId="Subtitle">
    <w:name w:val="Subtitle"/>
    <w:basedOn w:val="Normal"/>
    <w:next w:val="Normal"/>
    <w:link w:val="SubtitleChar"/>
    <w:uiPriority w:val="11"/>
    <w:qFormat/>
    <w:rsid w:val="007A5F8C"/>
    <w:pPr>
      <w:numPr>
        <w:ilvl w:val="1"/>
      </w:numPr>
      <w:spacing w:after="160"/>
    </w:pPr>
    <w:rPr>
      <w:rFonts w:eastAsiaTheme="minorEastAsia"/>
      <w:spacing w:val="15"/>
      <w:sz w:val="32"/>
    </w:rPr>
  </w:style>
  <w:style w:type="character" w:customStyle="1" w:styleId="SubtitleChar">
    <w:name w:val="Subtitle Char"/>
    <w:basedOn w:val="DefaultParagraphFont"/>
    <w:link w:val="Subtitle"/>
    <w:uiPriority w:val="11"/>
    <w:rsid w:val="007A5F8C"/>
    <w:rPr>
      <w:rFonts w:ascii="Calibri" w:eastAsiaTheme="minorEastAsia" w:hAnsi="Calibri"/>
      <w:color w:val="464646" w:themeColor="text1"/>
      <w:spacing w:val="15"/>
      <w:sz w:val="32"/>
    </w:rPr>
  </w:style>
  <w:style w:type="paragraph" w:styleId="FootnoteText">
    <w:name w:val="footnote text"/>
    <w:basedOn w:val="Normal"/>
    <w:link w:val="FootnoteTextChar"/>
    <w:uiPriority w:val="99"/>
    <w:unhideWhenUsed/>
    <w:qFormat/>
    <w:rsid w:val="00BA4AC8"/>
    <w:pPr>
      <w:spacing w:after="120" w:line="240" w:lineRule="auto"/>
    </w:pPr>
    <w:rPr>
      <w:sz w:val="20"/>
      <w:szCs w:val="20"/>
    </w:rPr>
  </w:style>
  <w:style w:type="character" w:customStyle="1" w:styleId="FootnoteTextChar">
    <w:name w:val="Footnote Text Char"/>
    <w:basedOn w:val="DefaultParagraphFont"/>
    <w:link w:val="FootnoteText"/>
    <w:uiPriority w:val="99"/>
    <w:rsid w:val="00BA4AC8"/>
    <w:rPr>
      <w:rFonts w:ascii="Calibri" w:hAnsi="Calibri"/>
      <w:color w:val="464646" w:themeColor="text1"/>
      <w:sz w:val="20"/>
      <w:szCs w:val="20"/>
    </w:rPr>
  </w:style>
  <w:style w:type="character" w:styleId="FootnoteReference">
    <w:name w:val="footnote reference"/>
    <w:basedOn w:val="DefaultParagraphFont"/>
    <w:uiPriority w:val="99"/>
    <w:semiHidden/>
    <w:unhideWhenUsed/>
    <w:rsid w:val="00B03D70"/>
    <w:rPr>
      <w:vertAlign w:val="superscript"/>
    </w:rPr>
  </w:style>
  <w:style w:type="character" w:styleId="Hyperlink">
    <w:name w:val="Hyperlink"/>
    <w:basedOn w:val="DefaultParagraphFont"/>
    <w:uiPriority w:val="99"/>
    <w:unhideWhenUsed/>
    <w:rsid w:val="008033C5"/>
    <w:rPr>
      <w:color w:val="003F5F" w:themeColor="hyperlink"/>
      <w:u w:val="single"/>
    </w:rPr>
  </w:style>
  <w:style w:type="character" w:customStyle="1" w:styleId="UnresolvedMention1">
    <w:name w:val="Unresolved Mention1"/>
    <w:basedOn w:val="DefaultParagraphFont"/>
    <w:uiPriority w:val="99"/>
    <w:semiHidden/>
    <w:unhideWhenUsed/>
    <w:rsid w:val="008033C5"/>
    <w:rPr>
      <w:color w:val="605E5C"/>
      <w:shd w:val="clear" w:color="auto" w:fill="E1DFDD"/>
    </w:rPr>
  </w:style>
  <w:style w:type="character" w:styleId="CommentReference">
    <w:name w:val="annotation reference"/>
    <w:basedOn w:val="DefaultParagraphFont"/>
    <w:uiPriority w:val="99"/>
    <w:semiHidden/>
    <w:unhideWhenUsed/>
    <w:rsid w:val="00324C8C"/>
    <w:rPr>
      <w:sz w:val="16"/>
      <w:szCs w:val="16"/>
    </w:rPr>
  </w:style>
  <w:style w:type="paragraph" w:styleId="CommentText">
    <w:name w:val="annotation text"/>
    <w:basedOn w:val="Normal"/>
    <w:link w:val="CommentTextChar"/>
    <w:uiPriority w:val="99"/>
    <w:semiHidden/>
    <w:unhideWhenUsed/>
    <w:rsid w:val="00324C8C"/>
    <w:pPr>
      <w:spacing w:line="240" w:lineRule="auto"/>
    </w:pPr>
    <w:rPr>
      <w:sz w:val="20"/>
      <w:szCs w:val="20"/>
    </w:rPr>
  </w:style>
  <w:style w:type="character" w:customStyle="1" w:styleId="CommentTextChar">
    <w:name w:val="Comment Text Char"/>
    <w:basedOn w:val="DefaultParagraphFont"/>
    <w:link w:val="CommentText"/>
    <w:uiPriority w:val="99"/>
    <w:semiHidden/>
    <w:rsid w:val="00324C8C"/>
    <w:rPr>
      <w:rFonts w:ascii="Calibri" w:hAnsi="Calibri"/>
      <w:color w:val="464646" w:themeColor="text1"/>
      <w:sz w:val="20"/>
      <w:szCs w:val="20"/>
    </w:rPr>
  </w:style>
  <w:style w:type="paragraph" w:styleId="CommentSubject">
    <w:name w:val="annotation subject"/>
    <w:basedOn w:val="CommentText"/>
    <w:next w:val="CommentText"/>
    <w:link w:val="CommentSubjectChar"/>
    <w:uiPriority w:val="99"/>
    <w:semiHidden/>
    <w:unhideWhenUsed/>
    <w:rsid w:val="00324C8C"/>
    <w:rPr>
      <w:b/>
      <w:bCs/>
    </w:rPr>
  </w:style>
  <w:style w:type="character" w:customStyle="1" w:styleId="CommentSubjectChar">
    <w:name w:val="Comment Subject Char"/>
    <w:basedOn w:val="CommentTextChar"/>
    <w:link w:val="CommentSubject"/>
    <w:uiPriority w:val="99"/>
    <w:semiHidden/>
    <w:rsid w:val="00324C8C"/>
    <w:rPr>
      <w:rFonts w:ascii="Calibri" w:hAnsi="Calibri"/>
      <w:b/>
      <w:bCs/>
      <w:color w:val="464646" w:themeColor="text1"/>
      <w:sz w:val="20"/>
      <w:szCs w:val="20"/>
    </w:rPr>
  </w:style>
  <w:style w:type="character" w:customStyle="1" w:styleId="UnresolvedMention10">
    <w:name w:val="Unresolved Mention1"/>
    <w:basedOn w:val="DefaultParagraphFont"/>
    <w:uiPriority w:val="99"/>
    <w:semiHidden/>
    <w:unhideWhenUsed/>
    <w:rsid w:val="00737483"/>
    <w:rPr>
      <w:color w:val="605E5C"/>
      <w:shd w:val="clear" w:color="auto" w:fill="E1DFDD"/>
    </w:rPr>
  </w:style>
  <w:style w:type="paragraph" w:styleId="Revision">
    <w:name w:val="Revision"/>
    <w:hidden/>
    <w:uiPriority w:val="99"/>
    <w:semiHidden/>
    <w:rsid w:val="0055461F"/>
    <w:pPr>
      <w:spacing w:after="0" w:line="240" w:lineRule="auto"/>
    </w:pPr>
    <w:rPr>
      <w:rFonts w:ascii="Calibri" w:hAnsi="Calibri"/>
      <w:color w:val="464646" w:themeColor="text1"/>
    </w:rPr>
  </w:style>
  <w:style w:type="paragraph" w:styleId="TOCHeading">
    <w:name w:val="TOC Heading"/>
    <w:basedOn w:val="Heading1"/>
    <w:next w:val="Normal"/>
    <w:uiPriority w:val="39"/>
    <w:unhideWhenUsed/>
    <w:qFormat/>
    <w:rsid w:val="00514707"/>
    <w:pPr>
      <w:spacing w:after="0" w:line="259" w:lineRule="auto"/>
      <w:outlineLvl w:val="9"/>
    </w:pPr>
    <w:rPr>
      <w:b w:val="0"/>
      <w:color w:val="29B3D4" w:themeColor="accent1" w:themeShade="BF"/>
    </w:rPr>
  </w:style>
  <w:style w:type="paragraph" w:styleId="TOC1">
    <w:name w:val="toc 1"/>
    <w:basedOn w:val="Normal"/>
    <w:next w:val="Normal"/>
    <w:autoRedefine/>
    <w:uiPriority w:val="39"/>
    <w:unhideWhenUsed/>
    <w:rsid w:val="00514707"/>
    <w:pPr>
      <w:spacing w:after="100"/>
    </w:pPr>
  </w:style>
  <w:style w:type="paragraph" w:styleId="TOC2">
    <w:name w:val="toc 2"/>
    <w:basedOn w:val="Normal"/>
    <w:next w:val="Normal"/>
    <w:autoRedefine/>
    <w:uiPriority w:val="39"/>
    <w:unhideWhenUsed/>
    <w:rsid w:val="00514707"/>
    <w:pPr>
      <w:spacing w:after="100"/>
      <w:ind w:left="220"/>
    </w:pPr>
  </w:style>
  <w:style w:type="paragraph" w:styleId="BodyText">
    <w:name w:val="Body Text"/>
    <w:basedOn w:val="Normal"/>
    <w:link w:val="BodyTextChar"/>
    <w:autoRedefine/>
    <w:unhideWhenUsed/>
    <w:rsid w:val="001C743C"/>
    <w:pPr>
      <w:framePr w:hSpace="180" w:wrap="around" w:vAnchor="text" w:hAnchor="margin" w:y="461"/>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4"/>
    </w:rPr>
  </w:style>
  <w:style w:type="character" w:customStyle="1" w:styleId="BodyTextChar">
    <w:name w:val="Body Text Char"/>
    <w:basedOn w:val="DefaultParagraphFont"/>
    <w:link w:val="BodyText"/>
    <w:rsid w:val="001C743C"/>
    <w:rPr>
      <w:rFonts w:ascii="Calibri" w:hAnsi="Calibri"/>
      <w:color w:val="464646" w:themeColor="text1"/>
      <w:sz w:val="24"/>
      <w:szCs w:val="24"/>
    </w:rPr>
  </w:style>
  <w:style w:type="character" w:styleId="FollowedHyperlink">
    <w:name w:val="FollowedHyperlink"/>
    <w:basedOn w:val="DefaultParagraphFont"/>
    <w:uiPriority w:val="99"/>
    <w:semiHidden/>
    <w:unhideWhenUsed/>
    <w:rsid w:val="0002487F"/>
    <w:rPr>
      <w:color w:val="70CDE3" w:themeColor="followedHyperlink"/>
      <w:u w:val="single"/>
    </w:rPr>
  </w:style>
  <w:style w:type="paragraph" w:styleId="Quote">
    <w:name w:val="Quote"/>
    <w:basedOn w:val="Normal"/>
    <w:next w:val="Normal"/>
    <w:link w:val="QuoteChar"/>
    <w:uiPriority w:val="29"/>
    <w:qFormat/>
    <w:rsid w:val="00657EC7"/>
    <w:pPr>
      <w:spacing w:before="200" w:after="160"/>
      <w:ind w:left="864" w:right="864"/>
      <w:jc w:val="both"/>
    </w:pPr>
    <w:rPr>
      <w:iCs/>
      <w:color w:val="747474" w:themeColor="text1" w:themeTint="BF"/>
    </w:rPr>
  </w:style>
  <w:style w:type="character" w:customStyle="1" w:styleId="QuoteChar">
    <w:name w:val="Quote Char"/>
    <w:basedOn w:val="DefaultParagraphFont"/>
    <w:link w:val="Quote"/>
    <w:uiPriority w:val="29"/>
    <w:rsid w:val="00657EC7"/>
    <w:rPr>
      <w:rFonts w:ascii="Calibri" w:hAnsi="Calibri"/>
      <w:iCs/>
      <w:color w:val="747474" w:themeColor="text1" w:themeTint="BF"/>
      <w:sz w:val="24"/>
    </w:rPr>
  </w:style>
  <w:style w:type="table" w:styleId="TableGrid">
    <w:name w:val="Table Grid"/>
    <w:basedOn w:val="TableNormal"/>
    <w:uiPriority w:val="39"/>
    <w:rsid w:val="00EA6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D1660"/>
    <w:pPr>
      <w:keepNext/>
      <w:spacing w:after="120" w:line="240" w:lineRule="auto"/>
      <w:jc w:val="center"/>
    </w:pPr>
    <w:rPr>
      <w:b/>
      <w:i/>
      <w:iCs/>
      <w:color w:val="003F5F" w:themeColor="text2"/>
      <w:szCs w:val="18"/>
    </w:rPr>
  </w:style>
  <w:style w:type="character" w:styleId="UnresolvedMention">
    <w:name w:val="Unresolved Mention"/>
    <w:basedOn w:val="DefaultParagraphFont"/>
    <w:uiPriority w:val="99"/>
    <w:unhideWhenUsed/>
    <w:rsid w:val="001E1B76"/>
    <w:rPr>
      <w:color w:val="605E5C"/>
      <w:shd w:val="clear" w:color="auto" w:fill="E1DFDD"/>
    </w:rPr>
  </w:style>
  <w:style w:type="character" w:styleId="Mention">
    <w:name w:val="Mention"/>
    <w:basedOn w:val="DefaultParagraphFont"/>
    <w:uiPriority w:val="99"/>
    <w:unhideWhenUsed/>
    <w:rsid w:val="001E1B76"/>
    <w:rPr>
      <w:color w:val="2B579A"/>
      <w:shd w:val="clear" w:color="auto" w:fill="E1DFDD"/>
    </w:rPr>
  </w:style>
  <w:style w:type="paragraph" w:styleId="TOC3">
    <w:name w:val="toc 3"/>
    <w:basedOn w:val="Normal"/>
    <w:next w:val="Normal"/>
    <w:autoRedefine/>
    <w:uiPriority w:val="39"/>
    <w:unhideWhenUsed/>
    <w:rsid w:val="00F4035B"/>
    <w:pPr>
      <w:spacing w:after="100"/>
      <w:ind w:left="480"/>
    </w:pPr>
  </w:style>
  <w:style w:type="table" w:styleId="GridTable2-Accent1">
    <w:name w:val="Grid Table 2 Accent 1"/>
    <w:basedOn w:val="TableNormal"/>
    <w:uiPriority w:val="47"/>
    <w:rsid w:val="00AA17D9"/>
    <w:pPr>
      <w:spacing w:after="0" w:line="240" w:lineRule="auto"/>
    </w:pPr>
    <w:tblPr>
      <w:tblStyleRowBandSize w:val="1"/>
      <w:tblStyleColBandSize w:val="1"/>
      <w:tblBorders>
        <w:top w:val="single" w:sz="2" w:space="0" w:color="A9E0EE" w:themeColor="accent1" w:themeTint="99"/>
        <w:bottom w:val="single" w:sz="2" w:space="0" w:color="A9E0EE" w:themeColor="accent1" w:themeTint="99"/>
        <w:insideH w:val="single" w:sz="2" w:space="0" w:color="A9E0EE" w:themeColor="accent1" w:themeTint="99"/>
        <w:insideV w:val="single" w:sz="2" w:space="0" w:color="A9E0EE" w:themeColor="accent1" w:themeTint="99"/>
      </w:tblBorders>
    </w:tblPr>
    <w:tblStylePr w:type="firstRow">
      <w:rPr>
        <w:b/>
        <w:bCs/>
      </w:rPr>
      <w:tblPr/>
      <w:tcPr>
        <w:tcBorders>
          <w:top w:val="nil"/>
          <w:bottom w:val="single" w:sz="12" w:space="0" w:color="A9E0EE" w:themeColor="accent1" w:themeTint="99"/>
          <w:insideH w:val="nil"/>
          <w:insideV w:val="nil"/>
        </w:tcBorders>
        <w:shd w:val="clear" w:color="auto" w:fill="FFFFFF" w:themeFill="background1"/>
      </w:tcPr>
    </w:tblStylePr>
    <w:tblStylePr w:type="lastRow">
      <w:rPr>
        <w:b/>
        <w:bCs/>
      </w:rPr>
      <w:tblPr/>
      <w:tcPr>
        <w:tcBorders>
          <w:top w:val="double" w:sz="2" w:space="0" w:color="A9E0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F5F9" w:themeFill="accent1" w:themeFillTint="33"/>
      </w:tcPr>
    </w:tblStylePr>
    <w:tblStylePr w:type="band1Horz">
      <w:tblPr/>
      <w:tcPr>
        <w:shd w:val="clear" w:color="auto" w:fill="E2F5F9" w:themeFill="accent1" w:themeFillTint="33"/>
      </w:tcPr>
    </w:tblStylePr>
  </w:style>
  <w:style w:type="table" w:styleId="GridTable1Light-Accent1">
    <w:name w:val="Grid Table 1 Light Accent 1"/>
    <w:basedOn w:val="TableNormal"/>
    <w:uiPriority w:val="46"/>
    <w:rsid w:val="00FD3995"/>
    <w:pPr>
      <w:spacing w:after="0" w:line="240" w:lineRule="auto"/>
    </w:pPr>
    <w:tblPr>
      <w:tblStyleRowBandSize w:val="1"/>
      <w:tblStyleColBandSize w:val="1"/>
      <w:tblBorders>
        <w:top w:val="single" w:sz="4" w:space="0" w:color="C5EAF3" w:themeColor="accent1" w:themeTint="66"/>
        <w:left w:val="single" w:sz="4" w:space="0" w:color="C5EAF3" w:themeColor="accent1" w:themeTint="66"/>
        <w:bottom w:val="single" w:sz="4" w:space="0" w:color="C5EAF3" w:themeColor="accent1" w:themeTint="66"/>
        <w:right w:val="single" w:sz="4" w:space="0" w:color="C5EAF3" w:themeColor="accent1" w:themeTint="66"/>
        <w:insideH w:val="single" w:sz="4" w:space="0" w:color="C5EAF3" w:themeColor="accent1" w:themeTint="66"/>
        <w:insideV w:val="single" w:sz="4" w:space="0" w:color="C5EAF3" w:themeColor="accent1" w:themeTint="66"/>
      </w:tblBorders>
    </w:tblPr>
    <w:tblStylePr w:type="firstRow">
      <w:rPr>
        <w:b/>
        <w:bCs/>
      </w:rPr>
      <w:tblPr/>
      <w:tcPr>
        <w:tcBorders>
          <w:bottom w:val="single" w:sz="12" w:space="0" w:color="A9E0EE" w:themeColor="accent1" w:themeTint="99"/>
        </w:tcBorders>
      </w:tcPr>
    </w:tblStylePr>
    <w:tblStylePr w:type="lastRow">
      <w:rPr>
        <w:b/>
        <w:bCs/>
      </w:rPr>
      <w:tblPr/>
      <w:tcPr>
        <w:tcBorders>
          <w:top w:val="double" w:sz="2" w:space="0" w:color="A9E0EE" w:themeColor="accent1"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D3995"/>
    <w:pPr>
      <w:spacing w:after="0" w:line="240" w:lineRule="auto"/>
    </w:pPr>
    <w:tblPr>
      <w:tblStyleRowBandSize w:val="1"/>
      <w:tblStyleColBandSize w:val="1"/>
      <w:tblBorders>
        <w:top w:val="single" w:sz="4" w:space="0" w:color="7FC9FF" w:themeColor="accent6" w:themeTint="66"/>
        <w:left w:val="single" w:sz="4" w:space="0" w:color="7FC9FF" w:themeColor="accent6" w:themeTint="66"/>
        <w:bottom w:val="single" w:sz="4" w:space="0" w:color="7FC9FF" w:themeColor="accent6" w:themeTint="66"/>
        <w:right w:val="single" w:sz="4" w:space="0" w:color="7FC9FF" w:themeColor="accent6" w:themeTint="66"/>
        <w:insideH w:val="single" w:sz="4" w:space="0" w:color="7FC9FF" w:themeColor="accent6" w:themeTint="66"/>
        <w:insideV w:val="single" w:sz="4" w:space="0" w:color="7FC9FF" w:themeColor="accent6" w:themeTint="66"/>
      </w:tblBorders>
    </w:tblPr>
    <w:tblStylePr w:type="firstRow">
      <w:rPr>
        <w:b/>
        <w:bCs/>
      </w:rPr>
      <w:tblPr/>
      <w:tcPr>
        <w:tcBorders>
          <w:bottom w:val="single" w:sz="12" w:space="0" w:color="40AEFF" w:themeColor="accent6" w:themeTint="99"/>
        </w:tcBorders>
      </w:tcPr>
    </w:tblStylePr>
    <w:tblStylePr w:type="lastRow">
      <w:rPr>
        <w:b/>
        <w:bCs/>
      </w:rPr>
      <w:tblPr/>
      <w:tcPr>
        <w:tcBorders>
          <w:top w:val="double" w:sz="2" w:space="0" w:color="40AEFF"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8D246B"/>
    <w:pPr>
      <w:spacing w:after="0" w:line="240" w:lineRule="auto"/>
    </w:pPr>
    <w:tblPr>
      <w:tblStyleRowBandSize w:val="1"/>
      <w:tblStyleColBandSize w:val="1"/>
    </w:tblPr>
    <w:tblStylePr w:type="firstRow">
      <w:rPr>
        <w:b/>
        <w:bCs/>
        <w:caps/>
      </w:rPr>
      <w:tblPr/>
      <w:tcPr>
        <w:tcBorders>
          <w:bottom w:val="single" w:sz="4" w:space="0" w:color="A2A2A2"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2A2A2"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1808">
      <w:bodyDiv w:val="1"/>
      <w:marLeft w:val="0"/>
      <w:marRight w:val="0"/>
      <w:marTop w:val="0"/>
      <w:marBottom w:val="0"/>
      <w:divBdr>
        <w:top w:val="none" w:sz="0" w:space="0" w:color="auto"/>
        <w:left w:val="none" w:sz="0" w:space="0" w:color="auto"/>
        <w:bottom w:val="none" w:sz="0" w:space="0" w:color="auto"/>
        <w:right w:val="none" w:sz="0" w:space="0" w:color="auto"/>
      </w:divBdr>
    </w:div>
    <w:div w:id="409934216">
      <w:bodyDiv w:val="1"/>
      <w:marLeft w:val="0"/>
      <w:marRight w:val="0"/>
      <w:marTop w:val="0"/>
      <w:marBottom w:val="0"/>
      <w:divBdr>
        <w:top w:val="none" w:sz="0" w:space="0" w:color="auto"/>
        <w:left w:val="none" w:sz="0" w:space="0" w:color="auto"/>
        <w:bottom w:val="none" w:sz="0" w:space="0" w:color="auto"/>
        <w:right w:val="none" w:sz="0" w:space="0" w:color="auto"/>
      </w:divBdr>
    </w:div>
    <w:div w:id="1155074074">
      <w:bodyDiv w:val="1"/>
      <w:marLeft w:val="0"/>
      <w:marRight w:val="0"/>
      <w:marTop w:val="0"/>
      <w:marBottom w:val="0"/>
      <w:divBdr>
        <w:top w:val="none" w:sz="0" w:space="0" w:color="auto"/>
        <w:left w:val="none" w:sz="0" w:space="0" w:color="auto"/>
        <w:bottom w:val="none" w:sz="0" w:space="0" w:color="auto"/>
        <w:right w:val="none" w:sz="0" w:space="0" w:color="auto"/>
      </w:divBdr>
    </w:div>
    <w:div w:id="18684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coolcalifornia.arb.ca.gov/" TargetMode="External"/><Relationship Id="rId3" Type="http://schemas.openxmlformats.org/officeDocument/2006/relationships/hyperlink" Target="https://www.pca.state.mn.us/air/consumption-related-emissions" TargetMode="External"/><Relationship Id="rId7" Type="http://schemas.openxmlformats.org/officeDocument/2006/relationships/hyperlink" Target="https://openei.org/apps/LCA/" TargetMode="External"/><Relationship Id="rId2" Type="http://schemas.openxmlformats.org/officeDocument/2006/relationships/hyperlink" Target="http://www.fao.org/in-action/epic/ex-act-tool/overview/en/%20" TargetMode="External"/><Relationship Id="rId1" Type="http://schemas.openxmlformats.org/officeDocument/2006/relationships/hyperlink" Target="https://dec.vermont.gov/sites/dec/files/aqc/climate-change/documents/_Vermont_Greenhouse_Gas_Emissions_Inventory_Update_1990-2017_Final.pdf" TargetMode="External"/><Relationship Id="rId6" Type="http://schemas.openxmlformats.org/officeDocument/2006/relationships/hyperlink" Target="http://www.elsevier.com/locate/rser" TargetMode="External"/><Relationship Id="rId5" Type="http://schemas.openxmlformats.org/officeDocument/2006/relationships/hyperlink" Target="https://www.pca.state.mn.us/air/consumption-related-emissions" TargetMode="External"/><Relationship Id="rId4" Type="http://schemas.openxmlformats.org/officeDocument/2006/relationships/hyperlink" Target="https://www.oregon.gov/deq/aq/programs/Pages/GHG-Inventory.aspx" TargetMode="External"/></Relationships>
</file>

<file path=word/theme/theme1.xml><?xml version="1.0" encoding="utf-8"?>
<a:theme xmlns:a="http://schemas.openxmlformats.org/drawingml/2006/main" name="Office Theme">
  <a:themeElements>
    <a:clrScheme name="EFG Theme">
      <a:dk1>
        <a:srgbClr val="464646"/>
      </a:dk1>
      <a:lt1>
        <a:sysClr val="window" lastClr="FFFFFF"/>
      </a:lt1>
      <a:dk2>
        <a:srgbClr val="003F5F"/>
      </a:dk2>
      <a:lt2>
        <a:srgbClr val="D5F1FF"/>
      </a:lt2>
      <a:accent1>
        <a:srgbClr val="70CDE3"/>
      </a:accent1>
      <a:accent2>
        <a:srgbClr val="4FAD26"/>
      </a:accent2>
      <a:accent3>
        <a:srgbClr val="003F5F"/>
      </a:accent3>
      <a:accent4>
        <a:srgbClr val="8B8B8B"/>
      </a:accent4>
      <a:accent5>
        <a:srgbClr val="E09900"/>
      </a:accent5>
      <a:accent6>
        <a:srgbClr val="0070C0"/>
      </a:accent6>
      <a:hlink>
        <a:srgbClr val="003F5F"/>
      </a:hlink>
      <a:folHlink>
        <a:srgbClr val="70CDE3"/>
      </a:folHlink>
    </a:clrScheme>
    <a:fontScheme name="Custom 384">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A02B2-2234-414A-8E40-0E012E56DC3D}">
  <ds:schemaRefs>
    <ds:schemaRef ds:uri="http://schemas.microsoft.com/sharepoint/v3/contenttype/forms"/>
  </ds:schemaRefs>
</ds:datastoreItem>
</file>

<file path=customXml/itemProps2.xml><?xml version="1.0" encoding="utf-8"?>
<ds:datastoreItem xmlns:ds="http://schemas.openxmlformats.org/officeDocument/2006/customXml" ds:itemID="{846BC163-48FA-4489-8E4B-723131431B5B}">
  <ds:schemaRefs>
    <ds:schemaRef ds:uri="http://schemas.openxmlformats.org/officeDocument/2006/bibliography"/>
  </ds:schemaRefs>
</ds:datastoreItem>
</file>

<file path=customXml/itemProps3.xml><?xml version="1.0" encoding="utf-8"?>
<ds:datastoreItem xmlns:ds="http://schemas.openxmlformats.org/officeDocument/2006/customXml" ds:itemID="{413AD048-D549-4625-A6E5-9C3D6D7CEF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05CA71-2B11-4BA5-88B1-F4AD1A053A3C}"/>
</file>

<file path=docProps/app.xml><?xml version="1.0" encoding="utf-8"?>
<Properties xmlns="http://schemas.openxmlformats.org/officeDocument/2006/extended-properties" xmlns:vt="http://schemas.openxmlformats.org/officeDocument/2006/docPropsVTypes">
  <Template>Normal</Template>
  <TotalTime>0</TotalTime>
  <Pages>51</Pages>
  <Words>12761</Words>
  <Characters>72743</Characters>
  <Application>Microsoft Office Word</Application>
  <DocSecurity>4</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85334</CharactersWithSpaces>
  <SharedDoc>false</SharedDoc>
  <HLinks>
    <vt:vector size="318" baseType="variant">
      <vt:variant>
        <vt:i4>1441848</vt:i4>
      </vt:variant>
      <vt:variant>
        <vt:i4>266</vt:i4>
      </vt:variant>
      <vt:variant>
        <vt:i4>0</vt:i4>
      </vt:variant>
      <vt:variant>
        <vt:i4>5</vt:i4>
      </vt:variant>
      <vt:variant>
        <vt:lpwstr/>
      </vt:variant>
      <vt:variant>
        <vt:lpwstr>_Toc78468738</vt:lpwstr>
      </vt:variant>
      <vt:variant>
        <vt:i4>1638456</vt:i4>
      </vt:variant>
      <vt:variant>
        <vt:i4>260</vt:i4>
      </vt:variant>
      <vt:variant>
        <vt:i4>0</vt:i4>
      </vt:variant>
      <vt:variant>
        <vt:i4>5</vt:i4>
      </vt:variant>
      <vt:variant>
        <vt:lpwstr/>
      </vt:variant>
      <vt:variant>
        <vt:lpwstr>_Toc78468737</vt:lpwstr>
      </vt:variant>
      <vt:variant>
        <vt:i4>1572920</vt:i4>
      </vt:variant>
      <vt:variant>
        <vt:i4>254</vt:i4>
      </vt:variant>
      <vt:variant>
        <vt:i4>0</vt:i4>
      </vt:variant>
      <vt:variant>
        <vt:i4>5</vt:i4>
      </vt:variant>
      <vt:variant>
        <vt:lpwstr/>
      </vt:variant>
      <vt:variant>
        <vt:lpwstr>_Toc78468736</vt:lpwstr>
      </vt:variant>
      <vt:variant>
        <vt:i4>1769528</vt:i4>
      </vt:variant>
      <vt:variant>
        <vt:i4>248</vt:i4>
      </vt:variant>
      <vt:variant>
        <vt:i4>0</vt:i4>
      </vt:variant>
      <vt:variant>
        <vt:i4>5</vt:i4>
      </vt:variant>
      <vt:variant>
        <vt:lpwstr/>
      </vt:variant>
      <vt:variant>
        <vt:lpwstr>_Toc78468735</vt:lpwstr>
      </vt:variant>
      <vt:variant>
        <vt:i4>1703992</vt:i4>
      </vt:variant>
      <vt:variant>
        <vt:i4>242</vt:i4>
      </vt:variant>
      <vt:variant>
        <vt:i4>0</vt:i4>
      </vt:variant>
      <vt:variant>
        <vt:i4>5</vt:i4>
      </vt:variant>
      <vt:variant>
        <vt:lpwstr/>
      </vt:variant>
      <vt:variant>
        <vt:lpwstr>_Toc78468734</vt:lpwstr>
      </vt:variant>
      <vt:variant>
        <vt:i4>1900600</vt:i4>
      </vt:variant>
      <vt:variant>
        <vt:i4>236</vt:i4>
      </vt:variant>
      <vt:variant>
        <vt:i4>0</vt:i4>
      </vt:variant>
      <vt:variant>
        <vt:i4>5</vt:i4>
      </vt:variant>
      <vt:variant>
        <vt:lpwstr/>
      </vt:variant>
      <vt:variant>
        <vt:lpwstr>_Toc78468733</vt:lpwstr>
      </vt:variant>
      <vt:variant>
        <vt:i4>1835064</vt:i4>
      </vt:variant>
      <vt:variant>
        <vt:i4>230</vt:i4>
      </vt:variant>
      <vt:variant>
        <vt:i4>0</vt:i4>
      </vt:variant>
      <vt:variant>
        <vt:i4>5</vt:i4>
      </vt:variant>
      <vt:variant>
        <vt:lpwstr/>
      </vt:variant>
      <vt:variant>
        <vt:lpwstr>_Toc78468732</vt:lpwstr>
      </vt:variant>
      <vt:variant>
        <vt:i4>2031672</vt:i4>
      </vt:variant>
      <vt:variant>
        <vt:i4>224</vt:i4>
      </vt:variant>
      <vt:variant>
        <vt:i4>0</vt:i4>
      </vt:variant>
      <vt:variant>
        <vt:i4>5</vt:i4>
      </vt:variant>
      <vt:variant>
        <vt:lpwstr/>
      </vt:variant>
      <vt:variant>
        <vt:lpwstr>_Toc78468731</vt:lpwstr>
      </vt:variant>
      <vt:variant>
        <vt:i4>1966136</vt:i4>
      </vt:variant>
      <vt:variant>
        <vt:i4>218</vt:i4>
      </vt:variant>
      <vt:variant>
        <vt:i4>0</vt:i4>
      </vt:variant>
      <vt:variant>
        <vt:i4>5</vt:i4>
      </vt:variant>
      <vt:variant>
        <vt:lpwstr/>
      </vt:variant>
      <vt:variant>
        <vt:lpwstr>_Toc78468730</vt:lpwstr>
      </vt:variant>
      <vt:variant>
        <vt:i4>1507385</vt:i4>
      </vt:variant>
      <vt:variant>
        <vt:i4>212</vt:i4>
      </vt:variant>
      <vt:variant>
        <vt:i4>0</vt:i4>
      </vt:variant>
      <vt:variant>
        <vt:i4>5</vt:i4>
      </vt:variant>
      <vt:variant>
        <vt:lpwstr/>
      </vt:variant>
      <vt:variant>
        <vt:lpwstr>_Toc78468729</vt:lpwstr>
      </vt:variant>
      <vt:variant>
        <vt:i4>1441849</vt:i4>
      </vt:variant>
      <vt:variant>
        <vt:i4>206</vt:i4>
      </vt:variant>
      <vt:variant>
        <vt:i4>0</vt:i4>
      </vt:variant>
      <vt:variant>
        <vt:i4>5</vt:i4>
      </vt:variant>
      <vt:variant>
        <vt:lpwstr/>
      </vt:variant>
      <vt:variant>
        <vt:lpwstr>_Toc78468728</vt:lpwstr>
      </vt:variant>
      <vt:variant>
        <vt:i4>1638457</vt:i4>
      </vt:variant>
      <vt:variant>
        <vt:i4>200</vt:i4>
      </vt:variant>
      <vt:variant>
        <vt:i4>0</vt:i4>
      </vt:variant>
      <vt:variant>
        <vt:i4>5</vt:i4>
      </vt:variant>
      <vt:variant>
        <vt:lpwstr/>
      </vt:variant>
      <vt:variant>
        <vt:lpwstr>_Toc78468727</vt:lpwstr>
      </vt:variant>
      <vt:variant>
        <vt:i4>1572921</vt:i4>
      </vt:variant>
      <vt:variant>
        <vt:i4>194</vt:i4>
      </vt:variant>
      <vt:variant>
        <vt:i4>0</vt:i4>
      </vt:variant>
      <vt:variant>
        <vt:i4>5</vt:i4>
      </vt:variant>
      <vt:variant>
        <vt:lpwstr/>
      </vt:variant>
      <vt:variant>
        <vt:lpwstr>_Toc78468726</vt:lpwstr>
      </vt:variant>
      <vt:variant>
        <vt:i4>1769529</vt:i4>
      </vt:variant>
      <vt:variant>
        <vt:i4>188</vt:i4>
      </vt:variant>
      <vt:variant>
        <vt:i4>0</vt:i4>
      </vt:variant>
      <vt:variant>
        <vt:i4>5</vt:i4>
      </vt:variant>
      <vt:variant>
        <vt:lpwstr/>
      </vt:variant>
      <vt:variant>
        <vt:lpwstr>_Toc78468725</vt:lpwstr>
      </vt:variant>
      <vt:variant>
        <vt:i4>1703993</vt:i4>
      </vt:variant>
      <vt:variant>
        <vt:i4>182</vt:i4>
      </vt:variant>
      <vt:variant>
        <vt:i4>0</vt:i4>
      </vt:variant>
      <vt:variant>
        <vt:i4>5</vt:i4>
      </vt:variant>
      <vt:variant>
        <vt:lpwstr/>
      </vt:variant>
      <vt:variant>
        <vt:lpwstr>_Toc78468724</vt:lpwstr>
      </vt:variant>
      <vt:variant>
        <vt:i4>1900601</vt:i4>
      </vt:variant>
      <vt:variant>
        <vt:i4>176</vt:i4>
      </vt:variant>
      <vt:variant>
        <vt:i4>0</vt:i4>
      </vt:variant>
      <vt:variant>
        <vt:i4>5</vt:i4>
      </vt:variant>
      <vt:variant>
        <vt:lpwstr/>
      </vt:variant>
      <vt:variant>
        <vt:lpwstr>_Toc78468723</vt:lpwstr>
      </vt:variant>
      <vt:variant>
        <vt:i4>1835065</vt:i4>
      </vt:variant>
      <vt:variant>
        <vt:i4>170</vt:i4>
      </vt:variant>
      <vt:variant>
        <vt:i4>0</vt:i4>
      </vt:variant>
      <vt:variant>
        <vt:i4>5</vt:i4>
      </vt:variant>
      <vt:variant>
        <vt:lpwstr/>
      </vt:variant>
      <vt:variant>
        <vt:lpwstr>_Toc78468722</vt:lpwstr>
      </vt:variant>
      <vt:variant>
        <vt:i4>2031673</vt:i4>
      </vt:variant>
      <vt:variant>
        <vt:i4>164</vt:i4>
      </vt:variant>
      <vt:variant>
        <vt:i4>0</vt:i4>
      </vt:variant>
      <vt:variant>
        <vt:i4>5</vt:i4>
      </vt:variant>
      <vt:variant>
        <vt:lpwstr/>
      </vt:variant>
      <vt:variant>
        <vt:lpwstr>_Toc78468721</vt:lpwstr>
      </vt:variant>
      <vt:variant>
        <vt:i4>1966137</vt:i4>
      </vt:variant>
      <vt:variant>
        <vt:i4>158</vt:i4>
      </vt:variant>
      <vt:variant>
        <vt:i4>0</vt:i4>
      </vt:variant>
      <vt:variant>
        <vt:i4>5</vt:i4>
      </vt:variant>
      <vt:variant>
        <vt:lpwstr/>
      </vt:variant>
      <vt:variant>
        <vt:lpwstr>_Toc78468720</vt:lpwstr>
      </vt:variant>
      <vt:variant>
        <vt:i4>1507386</vt:i4>
      </vt:variant>
      <vt:variant>
        <vt:i4>152</vt:i4>
      </vt:variant>
      <vt:variant>
        <vt:i4>0</vt:i4>
      </vt:variant>
      <vt:variant>
        <vt:i4>5</vt:i4>
      </vt:variant>
      <vt:variant>
        <vt:lpwstr/>
      </vt:variant>
      <vt:variant>
        <vt:lpwstr>_Toc78468719</vt:lpwstr>
      </vt:variant>
      <vt:variant>
        <vt:i4>1441850</vt:i4>
      </vt:variant>
      <vt:variant>
        <vt:i4>146</vt:i4>
      </vt:variant>
      <vt:variant>
        <vt:i4>0</vt:i4>
      </vt:variant>
      <vt:variant>
        <vt:i4>5</vt:i4>
      </vt:variant>
      <vt:variant>
        <vt:lpwstr/>
      </vt:variant>
      <vt:variant>
        <vt:lpwstr>_Toc78468718</vt:lpwstr>
      </vt:variant>
      <vt:variant>
        <vt:i4>1638458</vt:i4>
      </vt:variant>
      <vt:variant>
        <vt:i4>140</vt:i4>
      </vt:variant>
      <vt:variant>
        <vt:i4>0</vt:i4>
      </vt:variant>
      <vt:variant>
        <vt:i4>5</vt:i4>
      </vt:variant>
      <vt:variant>
        <vt:lpwstr/>
      </vt:variant>
      <vt:variant>
        <vt:lpwstr>_Toc78468717</vt:lpwstr>
      </vt:variant>
      <vt:variant>
        <vt:i4>1572922</vt:i4>
      </vt:variant>
      <vt:variant>
        <vt:i4>134</vt:i4>
      </vt:variant>
      <vt:variant>
        <vt:i4>0</vt:i4>
      </vt:variant>
      <vt:variant>
        <vt:i4>5</vt:i4>
      </vt:variant>
      <vt:variant>
        <vt:lpwstr/>
      </vt:variant>
      <vt:variant>
        <vt:lpwstr>_Toc78468716</vt:lpwstr>
      </vt:variant>
      <vt:variant>
        <vt:i4>1769530</vt:i4>
      </vt:variant>
      <vt:variant>
        <vt:i4>128</vt:i4>
      </vt:variant>
      <vt:variant>
        <vt:i4>0</vt:i4>
      </vt:variant>
      <vt:variant>
        <vt:i4>5</vt:i4>
      </vt:variant>
      <vt:variant>
        <vt:lpwstr/>
      </vt:variant>
      <vt:variant>
        <vt:lpwstr>_Toc78468715</vt:lpwstr>
      </vt:variant>
      <vt:variant>
        <vt:i4>1703994</vt:i4>
      </vt:variant>
      <vt:variant>
        <vt:i4>122</vt:i4>
      </vt:variant>
      <vt:variant>
        <vt:i4>0</vt:i4>
      </vt:variant>
      <vt:variant>
        <vt:i4>5</vt:i4>
      </vt:variant>
      <vt:variant>
        <vt:lpwstr/>
      </vt:variant>
      <vt:variant>
        <vt:lpwstr>_Toc78468714</vt:lpwstr>
      </vt:variant>
      <vt:variant>
        <vt:i4>1900602</vt:i4>
      </vt:variant>
      <vt:variant>
        <vt:i4>116</vt:i4>
      </vt:variant>
      <vt:variant>
        <vt:i4>0</vt:i4>
      </vt:variant>
      <vt:variant>
        <vt:i4>5</vt:i4>
      </vt:variant>
      <vt:variant>
        <vt:lpwstr/>
      </vt:variant>
      <vt:variant>
        <vt:lpwstr>_Toc78468713</vt:lpwstr>
      </vt:variant>
      <vt:variant>
        <vt:i4>1835066</vt:i4>
      </vt:variant>
      <vt:variant>
        <vt:i4>110</vt:i4>
      </vt:variant>
      <vt:variant>
        <vt:i4>0</vt:i4>
      </vt:variant>
      <vt:variant>
        <vt:i4>5</vt:i4>
      </vt:variant>
      <vt:variant>
        <vt:lpwstr/>
      </vt:variant>
      <vt:variant>
        <vt:lpwstr>_Toc78468712</vt:lpwstr>
      </vt:variant>
      <vt:variant>
        <vt:i4>2031674</vt:i4>
      </vt:variant>
      <vt:variant>
        <vt:i4>104</vt:i4>
      </vt:variant>
      <vt:variant>
        <vt:i4>0</vt:i4>
      </vt:variant>
      <vt:variant>
        <vt:i4>5</vt:i4>
      </vt:variant>
      <vt:variant>
        <vt:lpwstr/>
      </vt:variant>
      <vt:variant>
        <vt:lpwstr>_Toc78468711</vt:lpwstr>
      </vt:variant>
      <vt:variant>
        <vt:i4>1966138</vt:i4>
      </vt:variant>
      <vt:variant>
        <vt:i4>98</vt:i4>
      </vt:variant>
      <vt:variant>
        <vt:i4>0</vt:i4>
      </vt:variant>
      <vt:variant>
        <vt:i4>5</vt:i4>
      </vt:variant>
      <vt:variant>
        <vt:lpwstr/>
      </vt:variant>
      <vt:variant>
        <vt:lpwstr>_Toc78468710</vt:lpwstr>
      </vt:variant>
      <vt:variant>
        <vt:i4>1507387</vt:i4>
      </vt:variant>
      <vt:variant>
        <vt:i4>92</vt:i4>
      </vt:variant>
      <vt:variant>
        <vt:i4>0</vt:i4>
      </vt:variant>
      <vt:variant>
        <vt:i4>5</vt:i4>
      </vt:variant>
      <vt:variant>
        <vt:lpwstr/>
      </vt:variant>
      <vt:variant>
        <vt:lpwstr>_Toc78468709</vt:lpwstr>
      </vt:variant>
      <vt:variant>
        <vt:i4>1441851</vt:i4>
      </vt:variant>
      <vt:variant>
        <vt:i4>86</vt:i4>
      </vt:variant>
      <vt:variant>
        <vt:i4>0</vt:i4>
      </vt:variant>
      <vt:variant>
        <vt:i4>5</vt:i4>
      </vt:variant>
      <vt:variant>
        <vt:lpwstr/>
      </vt:variant>
      <vt:variant>
        <vt:lpwstr>_Toc78468708</vt:lpwstr>
      </vt:variant>
      <vt:variant>
        <vt:i4>1638459</vt:i4>
      </vt:variant>
      <vt:variant>
        <vt:i4>80</vt:i4>
      </vt:variant>
      <vt:variant>
        <vt:i4>0</vt:i4>
      </vt:variant>
      <vt:variant>
        <vt:i4>5</vt:i4>
      </vt:variant>
      <vt:variant>
        <vt:lpwstr/>
      </vt:variant>
      <vt:variant>
        <vt:lpwstr>_Toc78468707</vt:lpwstr>
      </vt:variant>
      <vt:variant>
        <vt:i4>1572923</vt:i4>
      </vt:variant>
      <vt:variant>
        <vt:i4>74</vt:i4>
      </vt:variant>
      <vt:variant>
        <vt:i4>0</vt:i4>
      </vt:variant>
      <vt:variant>
        <vt:i4>5</vt:i4>
      </vt:variant>
      <vt:variant>
        <vt:lpwstr/>
      </vt:variant>
      <vt:variant>
        <vt:lpwstr>_Toc78468706</vt:lpwstr>
      </vt:variant>
      <vt:variant>
        <vt:i4>1769531</vt:i4>
      </vt:variant>
      <vt:variant>
        <vt:i4>68</vt:i4>
      </vt:variant>
      <vt:variant>
        <vt:i4>0</vt:i4>
      </vt:variant>
      <vt:variant>
        <vt:i4>5</vt:i4>
      </vt:variant>
      <vt:variant>
        <vt:lpwstr/>
      </vt:variant>
      <vt:variant>
        <vt:lpwstr>_Toc78468705</vt:lpwstr>
      </vt:variant>
      <vt:variant>
        <vt:i4>1703995</vt:i4>
      </vt:variant>
      <vt:variant>
        <vt:i4>62</vt:i4>
      </vt:variant>
      <vt:variant>
        <vt:i4>0</vt:i4>
      </vt:variant>
      <vt:variant>
        <vt:i4>5</vt:i4>
      </vt:variant>
      <vt:variant>
        <vt:lpwstr/>
      </vt:variant>
      <vt:variant>
        <vt:lpwstr>_Toc78468704</vt:lpwstr>
      </vt:variant>
      <vt:variant>
        <vt:i4>1900603</vt:i4>
      </vt:variant>
      <vt:variant>
        <vt:i4>56</vt:i4>
      </vt:variant>
      <vt:variant>
        <vt:i4>0</vt:i4>
      </vt:variant>
      <vt:variant>
        <vt:i4>5</vt:i4>
      </vt:variant>
      <vt:variant>
        <vt:lpwstr/>
      </vt:variant>
      <vt:variant>
        <vt:lpwstr>_Toc78468703</vt:lpwstr>
      </vt:variant>
      <vt:variant>
        <vt:i4>1835067</vt:i4>
      </vt:variant>
      <vt:variant>
        <vt:i4>50</vt:i4>
      </vt:variant>
      <vt:variant>
        <vt:i4>0</vt:i4>
      </vt:variant>
      <vt:variant>
        <vt:i4>5</vt:i4>
      </vt:variant>
      <vt:variant>
        <vt:lpwstr/>
      </vt:variant>
      <vt:variant>
        <vt:lpwstr>_Toc78468702</vt:lpwstr>
      </vt:variant>
      <vt:variant>
        <vt:i4>2031675</vt:i4>
      </vt:variant>
      <vt:variant>
        <vt:i4>44</vt:i4>
      </vt:variant>
      <vt:variant>
        <vt:i4>0</vt:i4>
      </vt:variant>
      <vt:variant>
        <vt:i4>5</vt:i4>
      </vt:variant>
      <vt:variant>
        <vt:lpwstr/>
      </vt:variant>
      <vt:variant>
        <vt:lpwstr>_Toc78468701</vt:lpwstr>
      </vt:variant>
      <vt:variant>
        <vt:i4>1966139</vt:i4>
      </vt:variant>
      <vt:variant>
        <vt:i4>38</vt:i4>
      </vt:variant>
      <vt:variant>
        <vt:i4>0</vt:i4>
      </vt:variant>
      <vt:variant>
        <vt:i4>5</vt:i4>
      </vt:variant>
      <vt:variant>
        <vt:lpwstr/>
      </vt:variant>
      <vt:variant>
        <vt:lpwstr>_Toc78468700</vt:lpwstr>
      </vt:variant>
      <vt:variant>
        <vt:i4>1441842</vt:i4>
      </vt:variant>
      <vt:variant>
        <vt:i4>32</vt:i4>
      </vt:variant>
      <vt:variant>
        <vt:i4>0</vt:i4>
      </vt:variant>
      <vt:variant>
        <vt:i4>5</vt:i4>
      </vt:variant>
      <vt:variant>
        <vt:lpwstr/>
      </vt:variant>
      <vt:variant>
        <vt:lpwstr>_Toc78468699</vt:lpwstr>
      </vt:variant>
      <vt:variant>
        <vt:i4>1507378</vt:i4>
      </vt:variant>
      <vt:variant>
        <vt:i4>26</vt:i4>
      </vt:variant>
      <vt:variant>
        <vt:i4>0</vt:i4>
      </vt:variant>
      <vt:variant>
        <vt:i4>5</vt:i4>
      </vt:variant>
      <vt:variant>
        <vt:lpwstr/>
      </vt:variant>
      <vt:variant>
        <vt:lpwstr>_Toc78468698</vt:lpwstr>
      </vt:variant>
      <vt:variant>
        <vt:i4>1572914</vt:i4>
      </vt:variant>
      <vt:variant>
        <vt:i4>20</vt:i4>
      </vt:variant>
      <vt:variant>
        <vt:i4>0</vt:i4>
      </vt:variant>
      <vt:variant>
        <vt:i4>5</vt:i4>
      </vt:variant>
      <vt:variant>
        <vt:lpwstr/>
      </vt:variant>
      <vt:variant>
        <vt:lpwstr>_Toc78468697</vt:lpwstr>
      </vt:variant>
      <vt:variant>
        <vt:i4>1638450</vt:i4>
      </vt:variant>
      <vt:variant>
        <vt:i4>14</vt:i4>
      </vt:variant>
      <vt:variant>
        <vt:i4>0</vt:i4>
      </vt:variant>
      <vt:variant>
        <vt:i4>5</vt:i4>
      </vt:variant>
      <vt:variant>
        <vt:lpwstr/>
      </vt:variant>
      <vt:variant>
        <vt:lpwstr>_Toc78468696</vt:lpwstr>
      </vt:variant>
      <vt:variant>
        <vt:i4>1703986</vt:i4>
      </vt:variant>
      <vt:variant>
        <vt:i4>8</vt:i4>
      </vt:variant>
      <vt:variant>
        <vt:i4>0</vt:i4>
      </vt:variant>
      <vt:variant>
        <vt:i4>5</vt:i4>
      </vt:variant>
      <vt:variant>
        <vt:lpwstr/>
      </vt:variant>
      <vt:variant>
        <vt:lpwstr>_Toc78468695</vt:lpwstr>
      </vt:variant>
      <vt:variant>
        <vt:i4>1769522</vt:i4>
      </vt:variant>
      <vt:variant>
        <vt:i4>2</vt:i4>
      </vt:variant>
      <vt:variant>
        <vt:i4>0</vt:i4>
      </vt:variant>
      <vt:variant>
        <vt:i4>5</vt:i4>
      </vt:variant>
      <vt:variant>
        <vt:lpwstr/>
      </vt:variant>
      <vt:variant>
        <vt:lpwstr>_Toc78468694</vt:lpwstr>
      </vt:variant>
      <vt:variant>
        <vt:i4>7602236</vt:i4>
      </vt:variant>
      <vt:variant>
        <vt:i4>21</vt:i4>
      </vt:variant>
      <vt:variant>
        <vt:i4>0</vt:i4>
      </vt:variant>
      <vt:variant>
        <vt:i4>5</vt:i4>
      </vt:variant>
      <vt:variant>
        <vt:lpwstr>https://coolcalifornia.arb.ca.gov/</vt:lpwstr>
      </vt:variant>
      <vt:variant>
        <vt:lpwstr/>
      </vt:variant>
      <vt:variant>
        <vt:i4>1835090</vt:i4>
      </vt:variant>
      <vt:variant>
        <vt:i4>18</vt:i4>
      </vt:variant>
      <vt:variant>
        <vt:i4>0</vt:i4>
      </vt:variant>
      <vt:variant>
        <vt:i4>5</vt:i4>
      </vt:variant>
      <vt:variant>
        <vt:lpwstr>https://openei.org/apps/LCA/</vt:lpwstr>
      </vt:variant>
      <vt:variant>
        <vt:lpwstr/>
      </vt:variant>
      <vt:variant>
        <vt:i4>3932267</vt:i4>
      </vt:variant>
      <vt:variant>
        <vt:i4>15</vt:i4>
      </vt:variant>
      <vt:variant>
        <vt:i4>0</vt:i4>
      </vt:variant>
      <vt:variant>
        <vt:i4>5</vt:i4>
      </vt:variant>
      <vt:variant>
        <vt:lpwstr>http://www.elsevier.com/locate/rser</vt:lpwstr>
      </vt:variant>
      <vt:variant>
        <vt:lpwstr/>
      </vt:variant>
      <vt:variant>
        <vt:i4>4915220</vt:i4>
      </vt:variant>
      <vt:variant>
        <vt:i4>12</vt:i4>
      </vt:variant>
      <vt:variant>
        <vt:i4>0</vt:i4>
      </vt:variant>
      <vt:variant>
        <vt:i4>5</vt:i4>
      </vt:variant>
      <vt:variant>
        <vt:lpwstr>https://www.pca.state.mn.us/air/consumption-related-emissions</vt:lpwstr>
      </vt:variant>
      <vt:variant>
        <vt:lpwstr/>
      </vt:variant>
      <vt:variant>
        <vt:i4>7077985</vt:i4>
      </vt:variant>
      <vt:variant>
        <vt:i4>9</vt:i4>
      </vt:variant>
      <vt:variant>
        <vt:i4>0</vt:i4>
      </vt:variant>
      <vt:variant>
        <vt:i4>5</vt:i4>
      </vt:variant>
      <vt:variant>
        <vt:lpwstr>https://www.oregon.gov/deq/aq/programs/Pages/GHG-Inventory.aspx</vt:lpwstr>
      </vt:variant>
      <vt:variant>
        <vt:lpwstr/>
      </vt:variant>
      <vt:variant>
        <vt:i4>4915220</vt:i4>
      </vt:variant>
      <vt:variant>
        <vt:i4>6</vt:i4>
      </vt:variant>
      <vt:variant>
        <vt:i4>0</vt:i4>
      </vt:variant>
      <vt:variant>
        <vt:i4>5</vt:i4>
      </vt:variant>
      <vt:variant>
        <vt:lpwstr>https://www.pca.state.mn.us/air/consumption-related-emissions</vt:lpwstr>
      </vt:variant>
      <vt:variant>
        <vt:lpwstr/>
      </vt:variant>
      <vt:variant>
        <vt:i4>2097207</vt:i4>
      </vt:variant>
      <vt:variant>
        <vt:i4>3</vt:i4>
      </vt:variant>
      <vt:variant>
        <vt:i4>0</vt:i4>
      </vt:variant>
      <vt:variant>
        <vt:i4>5</vt:i4>
      </vt:variant>
      <vt:variant>
        <vt:lpwstr>http://www.fao.org/in-action/epic/ex-act-tool/overview/en/</vt:lpwstr>
      </vt:variant>
      <vt:variant>
        <vt:lpwstr/>
      </vt:variant>
      <vt:variant>
        <vt:i4>4063353</vt:i4>
      </vt:variant>
      <vt:variant>
        <vt:i4>0</vt:i4>
      </vt:variant>
      <vt:variant>
        <vt:i4>0</vt:i4>
      </vt:variant>
      <vt:variant>
        <vt:i4>5</vt:i4>
      </vt:variant>
      <vt:variant>
        <vt:lpwstr>https://dec.vermont.gov/sites/dec/files/aqc/climate-change/documents/_Vermont_Greenhouse_Gas_Emissions_Inventory_Update_1990-2017_Final.pdf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WindySantoso</dc:creator>
  <cp:keywords/>
  <dc:description/>
  <cp:lastModifiedBy>Wolz, Marian</cp:lastModifiedBy>
  <cp:revision>2</cp:revision>
  <cp:lastPrinted>2021-02-04T16:57:00Z</cp:lastPrinted>
  <dcterms:created xsi:type="dcterms:W3CDTF">2021-08-05T15:21:00Z</dcterms:created>
  <dcterms:modified xsi:type="dcterms:W3CDTF">2021-08-05T15:21:00Z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y fmtid="{D5CDD505-2E9C-101B-9397-08002B2CF9AE}" pid="3" name="Navigation Term">
    <vt:lpwstr>1302;#Policy Group|25205548-abe9-4a59-a1b8-0a1349bee0d2</vt:lpwstr>
  </property>
  <property fmtid="{D5CDD505-2E9C-101B-9397-08002B2CF9AE}" pid="4" name="Topic">
    <vt:lpwstr/>
  </property>
  <property fmtid="{D5CDD505-2E9C-101B-9397-08002B2CF9AE}" pid="5" name="Document Type">
    <vt:lpwstr/>
  </property>
  <property fmtid="{D5CDD505-2E9C-101B-9397-08002B2CF9AE}" pid="6" name="RAP Location">
    <vt:lpwstr/>
  </property>
  <property fmtid="{D5CDD505-2E9C-101B-9397-08002B2CF9AE}" pid="7" name="RAP Authors">
    <vt:lpwstr/>
  </property>
  <property fmtid="{D5CDD505-2E9C-101B-9397-08002B2CF9AE}" pid="8" name="AuthorIds_UIVersion_1024">
    <vt:lpwstr>56</vt:lpwstr>
  </property>
  <property fmtid="{D5CDD505-2E9C-101B-9397-08002B2CF9AE}" pid="9" name="Order">
    <vt:r8>63800</vt:r8>
  </property>
</Properties>
</file>