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5D" w:rsidRPr="005A6BD3" w:rsidRDefault="0070065D" w:rsidP="0070065D">
      <w:pPr>
        <w:spacing w:after="0" w:line="240" w:lineRule="auto"/>
        <w:jc w:val="center"/>
        <w:rPr>
          <w:rFonts w:ascii="Times New Roman" w:hAnsi="Times New Roman" w:cs="Times New Roman"/>
          <w:sz w:val="24"/>
          <w:szCs w:val="24"/>
        </w:rPr>
      </w:pPr>
      <w:r w:rsidRPr="005A6BD3">
        <w:rPr>
          <w:rFonts w:ascii="Times New Roman" w:hAnsi="Times New Roman" w:cs="Times New Roman"/>
          <w:sz w:val="24"/>
          <w:szCs w:val="24"/>
        </w:rPr>
        <w:t>Emergency Board Minutes</w:t>
      </w:r>
    </w:p>
    <w:p w:rsidR="0070065D" w:rsidRDefault="00745676" w:rsidP="0070065D">
      <w:pPr>
        <w:spacing w:after="0" w:line="240" w:lineRule="auto"/>
        <w:jc w:val="center"/>
        <w:rPr>
          <w:rFonts w:ascii="Times New Roman" w:hAnsi="Times New Roman" w:cs="Times New Roman"/>
          <w:sz w:val="24"/>
          <w:szCs w:val="24"/>
        </w:rPr>
      </w:pPr>
      <w:r w:rsidRPr="005A6BD3">
        <w:rPr>
          <w:rFonts w:ascii="Times New Roman" w:hAnsi="Times New Roman" w:cs="Times New Roman"/>
          <w:sz w:val="24"/>
          <w:szCs w:val="24"/>
        </w:rPr>
        <w:t>January 18, 2012</w:t>
      </w:r>
      <w:r w:rsidR="0070065D" w:rsidRPr="005A6BD3">
        <w:rPr>
          <w:rFonts w:ascii="Times New Roman" w:hAnsi="Times New Roman" w:cs="Times New Roman"/>
          <w:sz w:val="24"/>
          <w:szCs w:val="24"/>
        </w:rPr>
        <w:t>, Called for 1:00 pm</w:t>
      </w:r>
    </w:p>
    <w:p w:rsidR="005A6BD3" w:rsidRPr="005A6BD3" w:rsidRDefault="005A6BD3" w:rsidP="0070065D">
      <w:pPr>
        <w:spacing w:after="0" w:line="240" w:lineRule="auto"/>
        <w:jc w:val="center"/>
        <w:rPr>
          <w:rFonts w:ascii="Times New Roman" w:hAnsi="Times New Roman" w:cs="Times New Roman"/>
          <w:sz w:val="24"/>
          <w:szCs w:val="24"/>
        </w:rPr>
      </w:pPr>
    </w:p>
    <w:p w:rsidR="0070065D" w:rsidRPr="005A6BD3" w:rsidRDefault="0070065D" w:rsidP="0070065D">
      <w:pPr>
        <w:spacing w:after="0" w:line="240" w:lineRule="auto"/>
        <w:jc w:val="center"/>
        <w:rPr>
          <w:rFonts w:ascii="Times New Roman" w:hAnsi="Times New Roman" w:cs="Times New Roman"/>
          <w:sz w:val="24"/>
          <w:szCs w:val="24"/>
        </w:rPr>
      </w:pPr>
    </w:p>
    <w:p w:rsidR="00745676" w:rsidRPr="005A6BD3" w:rsidRDefault="00745676" w:rsidP="00745676">
      <w:pPr>
        <w:spacing w:after="0" w:line="240" w:lineRule="auto"/>
        <w:rPr>
          <w:rFonts w:ascii="Times New Roman" w:hAnsi="Times New Roman" w:cs="Times New Roman"/>
          <w:sz w:val="24"/>
          <w:szCs w:val="24"/>
        </w:rPr>
      </w:pPr>
      <w:r w:rsidRPr="005A6BD3">
        <w:rPr>
          <w:rFonts w:ascii="Times New Roman" w:hAnsi="Times New Roman" w:cs="Times New Roman"/>
          <w:sz w:val="24"/>
          <w:szCs w:val="24"/>
        </w:rPr>
        <w:t xml:space="preserve">Pursuant to notice, the Emergency Board met in the Governor’s Ceremonial Office at the Vermont State House, 115 State Street, Montpelier, Vermont on Wednesday, January 18, 2012 at 1:07 pm. </w:t>
      </w:r>
    </w:p>
    <w:p w:rsidR="00745676" w:rsidRPr="005A6BD3" w:rsidRDefault="00745676" w:rsidP="00745676">
      <w:pPr>
        <w:spacing w:after="0" w:line="240" w:lineRule="auto"/>
        <w:rPr>
          <w:rFonts w:ascii="Times New Roman" w:hAnsi="Times New Roman" w:cs="Times New Roman"/>
          <w:sz w:val="24"/>
          <w:szCs w:val="24"/>
        </w:rPr>
      </w:pPr>
    </w:p>
    <w:p w:rsidR="00745676" w:rsidRPr="005A6BD3" w:rsidRDefault="00745676" w:rsidP="00745676">
      <w:pPr>
        <w:spacing w:after="0" w:line="240" w:lineRule="auto"/>
        <w:rPr>
          <w:rFonts w:ascii="Times New Roman" w:hAnsi="Times New Roman" w:cs="Times New Roman"/>
          <w:sz w:val="24"/>
          <w:szCs w:val="24"/>
        </w:rPr>
      </w:pPr>
      <w:r w:rsidRPr="005A6BD3">
        <w:rPr>
          <w:rFonts w:ascii="Times New Roman" w:hAnsi="Times New Roman" w:cs="Times New Roman"/>
          <w:sz w:val="24"/>
          <w:szCs w:val="24"/>
        </w:rPr>
        <w:t xml:space="preserve">Members present: Governor Peter Shumlin, Chair; Senator Ann Cummings, Senator Jane Kitchel, Representative Martha Heath, Representative Janet Ancel. </w:t>
      </w:r>
    </w:p>
    <w:p w:rsidR="0070065D" w:rsidRPr="005A6BD3" w:rsidRDefault="0070065D" w:rsidP="0070065D">
      <w:pPr>
        <w:spacing w:after="0" w:line="240" w:lineRule="auto"/>
        <w:rPr>
          <w:rFonts w:ascii="Times New Roman" w:hAnsi="Times New Roman" w:cs="Times New Roman"/>
          <w:sz w:val="24"/>
          <w:szCs w:val="24"/>
        </w:rPr>
      </w:pPr>
    </w:p>
    <w:p w:rsidR="0070065D" w:rsidRPr="005A6BD3" w:rsidRDefault="0070065D" w:rsidP="0070065D">
      <w:pPr>
        <w:spacing w:after="0" w:line="240" w:lineRule="auto"/>
        <w:rPr>
          <w:rFonts w:ascii="Times New Roman" w:hAnsi="Times New Roman" w:cs="Times New Roman"/>
          <w:sz w:val="24"/>
          <w:szCs w:val="24"/>
        </w:rPr>
      </w:pPr>
      <w:r w:rsidRPr="005A6BD3">
        <w:rPr>
          <w:rFonts w:ascii="Times New Roman" w:hAnsi="Times New Roman" w:cs="Times New Roman"/>
          <w:sz w:val="24"/>
          <w:szCs w:val="24"/>
        </w:rPr>
        <w:t>The items on the agenda were as follows:</w:t>
      </w:r>
    </w:p>
    <w:p w:rsidR="0070065D" w:rsidRPr="005A6BD3" w:rsidRDefault="0070065D" w:rsidP="0070065D">
      <w:pPr>
        <w:spacing w:after="0" w:line="240" w:lineRule="auto"/>
        <w:rPr>
          <w:rFonts w:ascii="Times New Roman" w:hAnsi="Times New Roman" w:cs="Times New Roman"/>
          <w:sz w:val="24"/>
          <w:szCs w:val="24"/>
        </w:rPr>
      </w:pPr>
    </w:p>
    <w:p w:rsidR="0070065D" w:rsidRPr="005A6BD3" w:rsidRDefault="0070065D" w:rsidP="00745676">
      <w:pPr>
        <w:spacing w:after="0" w:line="240" w:lineRule="auto"/>
        <w:ind w:left="720"/>
        <w:rPr>
          <w:rFonts w:ascii="Times New Roman" w:hAnsi="Times New Roman" w:cs="Times New Roman"/>
          <w:b/>
          <w:sz w:val="24"/>
          <w:szCs w:val="24"/>
        </w:rPr>
      </w:pPr>
      <w:r w:rsidRPr="005A6BD3">
        <w:rPr>
          <w:rFonts w:ascii="Times New Roman" w:hAnsi="Times New Roman" w:cs="Times New Roman"/>
          <w:b/>
          <w:sz w:val="24"/>
          <w:szCs w:val="24"/>
        </w:rPr>
        <w:t xml:space="preserve">Item 1: </w:t>
      </w:r>
      <w:r w:rsidR="00745676" w:rsidRPr="005A6BD3">
        <w:rPr>
          <w:rFonts w:ascii="Times New Roman" w:hAnsi="Times New Roman" w:cs="Times New Roman"/>
          <w:b/>
          <w:sz w:val="24"/>
          <w:szCs w:val="24"/>
        </w:rPr>
        <w:t>Allocation of the calendar year 2012 Private Activity Bond Ceiling (32 V</w:t>
      </w:r>
      <w:r w:rsidR="00EF27A8" w:rsidRPr="005A6BD3">
        <w:rPr>
          <w:rFonts w:ascii="Times New Roman" w:hAnsi="Times New Roman" w:cs="Times New Roman"/>
          <w:b/>
          <w:sz w:val="24"/>
          <w:szCs w:val="24"/>
        </w:rPr>
        <w:t>.</w:t>
      </w:r>
      <w:r w:rsidR="00745676" w:rsidRPr="005A6BD3">
        <w:rPr>
          <w:rFonts w:ascii="Times New Roman" w:hAnsi="Times New Roman" w:cs="Times New Roman"/>
          <w:b/>
          <w:sz w:val="24"/>
          <w:szCs w:val="24"/>
        </w:rPr>
        <w:t>S</w:t>
      </w:r>
      <w:r w:rsidR="00EF27A8" w:rsidRPr="005A6BD3">
        <w:rPr>
          <w:rFonts w:ascii="Times New Roman" w:hAnsi="Times New Roman" w:cs="Times New Roman"/>
          <w:b/>
          <w:sz w:val="24"/>
          <w:szCs w:val="24"/>
        </w:rPr>
        <w:t>.</w:t>
      </w:r>
      <w:r w:rsidR="00745676" w:rsidRPr="005A6BD3">
        <w:rPr>
          <w:rFonts w:ascii="Times New Roman" w:hAnsi="Times New Roman" w:cs="Times New Roman"/>
          <w:b/>
          <w:sz w:val="24"/>
          <w:szCs w:val="24"/>
        </w:rPr>
        <w:t>A</w:t>
      </w:r>
      <w:r w:rsidR="00EF27A8" w:rsidRPr="005A6BD3">
        <w:rPr>
          <w:rFonts w:ascii="Times New Roman" w:hAnsi="Times New Roman" w:cs="Times New Roman"/>
          <w:b/>
          <w:sz w:val="24"/>
          <w:szCs w:val="24"/>
        </w:rPr>
        <w:t>.</w:t>
      </w:r>
      <w:r w:rsidR="00745676" w:rsidRPr="005A6BD3">
        <w:rPr>
          <w:rFonts w:ascii="Times New Roman" w:hAnsi="Times New Roman" w:cs="Times New Roman"/>
          <w:b/>
          <w:sz w:val="24"/>
          <w:szCs w:val="24"/>
        </w:rPr>
        <w:t xml:space="preserve"> Sec.992(b)).</w:t>
      </w:r>
    </w:p>
    <w:p w:rsidR="0070065D" w:rsidRPr="005A6BD3" w:rsidRDefault="0070065D" w:rsidP="0070065D">
      <w:pPr>
        <w:spacing w:after="0" w:line="240" w:lineRule="auto"/>
        <w:rPr>
          <w:rFonts w:ascii="Times New Roman" w:hAnsi="Times New Roman" w:cs="Times New Roman"/>
          <w:sz w:val="24"/>
          <w:szCs w:val="24"/>
        </w:rPr>
      </w:pPr>
    </w:p>
    <w:p w:rsidR="00264D80" w:rsidRPr="005A6BD3" w:rsidRDefault="0070065D" w:rsidP="00264D80">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 xml:space="preserve">Governor Shumlin </w:t>
      </w:r>
      <w:r w:rsidR="00EF27A8" w:rsidRPr="005A6BD3">
        <w:rPr>
          <w:rFonts w:ascii="Times New Roman" w:hAnsi="Times New Roman" w:cs="Times New Roman"/>
          <w:sz w:val="24"/>
          <w:szCs w:val="24"/>
        </w:rPr>
        <w:t>introduced the proposed allocation of the Calendar Year 2012 private activity bond ceiling pursuant to 32 V.S</w:t>
      </w:r>
      <w:r w:rsidR="00A07346" w:rsidRPr="005A6BD3">
        <w:rPr>
          <w:rFonts w:ascii="Times New Roman" w:hAnsi="Times New Roman" w:cs="Times New Roman"/>
          <w:sz w:val="24"/>
          <w:szCs w:val="24"/>
        </w:rPr>
        <w:t>.</w:t>
      </w:r>
      <w:r w:rsidR="00EF27A8" w:rsidRPr="005A6BD3">
        <w:rPr>
          <w:rFonts w:ascii="Times New Roman" w:hAnsi="Times New Roman" w:cs="Times New Roman"/>
          <w:sz w:val="24"/>
          <w:szCs w:val="24"/>
        </w:rPr>
        <w:t>A. Sec. 992(b), as recommended by the Private Activity Bond Advisory Committee (PABAC)</w:t>
      </w:r>
      <w:r w:rsidR="004A2E89" w:rsidRPr="005A6BD3">
        <w:rPr>
          <w:rFonts w:ascii="Times New Roman" w:hAnsi="Times New Roman" w:cs="Times New Roman"/>
          <w:sz w:val="24"/>
          <w:szCs w:val="24"/>
        </w:rPr>
        <w:t>,</w:t>
      </w:r>
      <w:r w:rsidR="00EF27A8" w:rsidRPr="005A6BD3">
        <w:rPr>
          <w:rFonts w:ascii="Times New Roman" w:hAnsi="Times New Roman" w:cs="Times New Roman"/>
          <w:sz w:val="24"/>
          <w:szCs w:val="24"/>
        </w:rPr>
        <w:t xml:space="preserve"> provided in accordance with Executive Order No.14-11.  </w:t>
      </w:r>
    </w:p>
    <w:p w:rsidR="00EF27A8" w:rsidRPr="005A6BD3" w:rsidRDefault="00EF27A8" w:rsidP="00264D80">
      <w:pPr>
        <w:spacing w:after="0" w:line="240" w:lineRule="auto"/>
        <w:ind w:left="1440"/>
        <w:rPr>
          <w:rFonts w:ascii="Times New Roman" w:hAnsi="Times New Roman" w:cs="Times New Roman"/>
          <w:sz w:val="24"/>
          <w:szCs w:val="24"/>
        </w:rPr>
      </w:pPr>
    </w:p>
    <w:p w:rsidR="00EF27A8" w:rsidRPr="005A6BD3" w:rsidRDefault="00EF27A8" w:rsidP="00264D80">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 xml:space="preserve">State Treasurer </w:t>
      </w:r>
      <w:r w:rsidR="00F154FC" w:rsidRPr="005A6BD3">
        <w:rPr>
          <w:rFonts w:ascii="Times New Roman" w:hAnsi="Times New Roman" w:cs="Times New Roman"/>
          <w:sz w:val="24"/>
          <w:szCs w:val="24"/>
        </w:rPr>
        <w:t xml:space="preserve">and Chair of the Private Activity Bond Advisory Committee </w:t>
      </w:r>
      <w:r w:rsidRPr="005A6BD3">
        <w:rPr>
          <w:rFonts w:ascii="Times New Roman" w:hAnsi="Times New Roman" w:cs="Times New Roman"/>
          <w:sz w:val="24"/>
          <w:szCs w:val="24"/>
        </w:rPr>
        <w:t>Beth Pearce presented the proposed 2012 private activity bond allocation.</w:t>
      </w:r>
    </w:p>
    <w:p w:rsidR="00456AA5" w:rsidRPr="005A6BD3" w:rsidRDefault="00456AA5" w:rsidP="00264D80">
      <w:pPr>
        <w:spacing w:after="0" w:line="240" w:lineRule="auto"/>
        <w:ind w:left="1440"/>
        <w:rPr>
          <w:rFonts w:ascii="Times New Roman" w:hAnsi="Times New Roman" w:cs="Times New Roman"/>
          <w:sz w:val="24"/>
          <w:szCs w:val="24"/>
        </w:rPr>
      </w:pPr>
    </w:p>
    <w:p w:rsidR="00264D80" w:rsidRPr="005A6BD3" w:rsidRDefault="00264D80" w:rsidP="00264D80">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 xml:space="preserve">Following discussion, </w:t>
      </w:r>
      <w:r w:rsidR="00EF27A8" w:rsidRPr="005A6BD3">
        <w:rPr>
          <w:rFonts w:ascii="Times New Roman" w:hAnsi="Times New Roman" w:cs="Times New Roman"/>
          <w:sz w:val="24"/>
          <w:szCs w:val="24"/>
        </w:rPr>
        <w:t>Representative Heath</w:t>
      </w:r>
      <w:r w:rsidRPr="005A6BD3">
        <w:rPr>
          <w:rFonts w:ascii="Times New Roman" w:hAnsi="Times New Roman" w:cs="Times New Roman"/>
          <w:sz w:val="24"/>
          <w:szCs w:val="24"/>
        </w:rPr>
        <w:t xml:space="preserve"> made the following mo</w:t>
      </w:r>
      <w:r w:rsidR="00EF27A8" w:rsidRPr="005A6BD3">
        <w:rPr>
          <w:rFonts w:ascii="Times New Roman" w:hAnsi="Times New Roman" w:cs="Times New Roman"/>
          <w:sz w:val="24"/>
          <w:szCs w:val="24"/>
        </w:rPr>
        <w:t>tion, seconded by Senator Kitchel</w:t>
      </w:r>
      <w:r w:rsidRPr="005A6BD3">
        <w:rPr>
          <w:rFonts w:ascii="Times New Roman" w:hAnsi="Times New Roman" w:cs="Times New Roman"/>
          <w:sz w:val="24"/>
          <w:szCs w:val="24"/>
        </w:rPr>
        <w:t>:</w:t>
      </w:r>
    </w:p>
    <w:p w:rsidR="00264D80" w:rsidRPr="005A6BD3" w:rsidRDefault="00264D80" w:rsidP="00264D80">
      <w:pPr>
        <w:spacing w:after="0" w:line="240" w:lineRule="auto"/>
        <w:ind w:left="1440"/>
        <w:rPr>
          <w:rFonts w:ascii="Times New Roman" w:hAnsi="Times New Roman" w:cs="Times New Roman"/>
          <w:sz w:val="24"/>
          <w:szCs w:val="24"/>
        </w:rPr>
      </w:pPr>
    </w:p>
    <w:p w:rsidR="00264D80" w:rsidRPr="005A6BD3" w:rsidRDefault="00264D80" w:rsidP="004E0E7B">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Motion is made</w:t>
      </w:r>
      <w:r w:rsidR="00FA5001" w:rsidRPr="005A6BD3">
        <w:rPr>
          <w:rFonts w:ascii="Times New Roman" w:hAnsi="Times New Roman" w:cs="Times New Roman"/>
          <w:sz w:val="24"/>
          <w:szCs w:val="24"/>
        </w:rPr>
        <w:t xml:space="preserve"> to allocate Vermont’s private activity bond allocation of $284,560,000 for calendar year 2012 as follows:</w:t>
      </w:r>
    </w:p>
    <w:p w:rsidR="00FA5001" w:rsidRPr="005A6BD3" w:rsidRDefault="00FA5001" w:rsidP="00FA5001">
      <w:pPr>
        <w:spacing w:after="0" w:line="240" w:lineRule="auto"/>
        <w:ind w:left="1440"/>
        <w:rPr>
          <w:rFonts w:ascii="Times New Roman" w:hAnsi="Times New Roman" w:cs="Times New Roman"/>
          <w:sz w:val="24"/>
          <w:szCs w:val="24"/>
        </w:rPr>
      </w:pPr>
    </w:p>
    <w:p w:rsidR="00FA5001" w:rsidRPr="005A6BD3" w:rsidRDefault="00FA5001" w:rsidP="00FA5001">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ab/>
      </w:r>
      <w:r w:rsidRPr="005A6BD3">
        <w:rPr>
          <w:rFonts w:ascii="Times New Roman" w:hAnsi="Times New Roman" w:cs="Times New Roman"/>
          <w:sz w:val="24"/>
          <w:szCs w:val="24"/>
        </w:rPr>
        <w:tab/>
        <w:t>Vermont Economic Development Authority</w:t>
      </w:r>
      <w:r w:rsidRPr="005A6BD3">
        <w:rPr>
          <w:rFonts w:ascii="Times New Roman" w:hAnsi="Times New Roman" w:cs="Times New Roman"/>
          <w:sz w:val="24"/>
          <w:szCs w:val="24"/>
        </w:rPr>
        <w:tab/>
      </w:r>
      <w:r w:rsidRPr="005A6BD3">
        <w:rPr>
          <w:rFonts w:ascii="Times New Roman" w:hAnsi="Times New Roman" w:cs="Times New Roman"/>
          <w:sz w:val="24"/>
          <w:szCs w:val="24"/>
        </w:rPr>
        <w:tab/>
        <w:t>$  25,000,000</w:t>
      </w:r>
    </w:p>
    <w:p w:rsidR="00FA5001" w:rsidRPr="005A6BD3" w:rsidRDefault="00FA5001" w:rsidP="00FA5001">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ab/>
      </w:r>
      <w:r w:rsidRPr="005A6BD3">
        <w:rPr>
          <w:rFonts w:ascii="Times New Roman" w:hAnsi="Times New Roman" w:cs="Times New Roman"/>
          <w:sz w:val="24"/>
          <w:szCs w:val="24"/>
        </w:rPr>
        <w:tab/>
        <w:t>Vermont Municipal Bond Bank</w:t>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t>$  25,000,000</w:t>
      </w:r>
    </w:p>
    <w:p w:rsidR="00FA5001" w:rsidRPr="005A6BD3" w:rsidRDefault="00FA5001" w:rsidP="00FA5001">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ab/>
      </w:r>
      <w:r w:rsidRPr="005A6BD3">
        <w:rPr>
          <w:rFonts w:ascii="Times New Roman" w:hAnsi="Times New Roman" w:cs="Times New Roman"/>
          <w:sz w:val="24"/>
          <w:szCs w:val="24"/>
        </w:rPr>
        <w:tab/>
        <w:t>Hinesburg Sewer Project</w:t>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t xml:space="preserve">$    </w:t>
      </w:r>
      <w:r w:rsidR="004A2E89" w:rsidRPr="005A6BD3">
        <w:rPr>
          <w:rFonts w:ascii="Times New Roman" w:hAnsi="Times New Roman" w:cs="Times New Roman"/>
          <w:sz w:val="24"/>
          <w:szCs w:val="24"/>
        </w:rPr>
        <w:t xml:space="preserve">   3</w:t>
      </w:r>
      <w:r w:rsidRPr="005A6BD3">
        <w:rPr>
          <w:rFonts w:ascii="Times New Roman" w:hAnsi="Times New Roman" w:cs="Times New Roman"/>
          <w:sz w:val="24"/>
          <w:szCs w:val="24"/>
        </w:rPr>
        <w:t>00,000</w:t>
      </w:r>
    </w:p>
    <w:p w:rsidR="00FA5001" w:rsidRPr="005A6BD3" w:rsidRDefault="00FA5001" w:rsidP="00FA5001">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ab/>
      </w:r>
      <w:r w:rsidRPr="005A6BD3">
        <w:rPr>
          <w:rFonts w:ascii="Times New Roman" w:hAnsi="Times New Roman" w:cs="Times New Roman"/>
          <w:sz w:val="24"/>
          <w:szCs w:val="24"/>
        </w:rPr>
        <w:tab/>
        <w:t>Contingency</w:t>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t xml:space="preserve">             </w:t>
      </w:r>
      <w:r w:rsidRPr="005A6BD3">
        <w:rPr>
          <w:rFonts w:ascii="Times New Roman" w:hAnsi="Times New Roman" w:cs="Times New Roman"/>
          <w:sz w:val="24"/>
          <w:szCs w:val="24"/>
        </w:rPr>
        <w:tab/>
        <w:t>$234,260,000</w:t>
      </w:r>
    </w:p>
    <w:p w:rsidR="00FA5001" w:rsidRPr="005A6BD3" w:rsidRDefault="00FA5001" w:rsidP="00FA5001">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t>___________</w:t>
      </w:r>
    </w:p>
    <w:p w:rsidR="00FA5001" w:rsidRPr="005A6BD3" w:rsidRDefault="00FA5001" w:rsidP="00FA5001">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r>
      <w:r w:rsidRPr="005A6BD3">
        <w:rPr>
          <w:rFonts w:ascii="Times New Roman" w:hAnsi="Times New Roman" w:cs="Times New Roman"/>
          <w:sz w:val="24"/>
          <w:szCs w:val="24"/>
        </w:rPr>
        <w:tab/>
        <w:t>$284,560,000</w:t>
      </w:r>
    </w:p>
    <w:p w:rsidR="00FA5001" w:rsidRPr="005A6BD3" w:rsidRDefault="00FA5001" w:rsidP="00FA5001">
      <w:pPr>
        <w:spacing w:after="0" w:line="240" w:lineRule="auto"/>
        <w:ind w:left="1440"/>
        <w:rPr>
          <w:rFonts w:ascii="Times New Roman" w:hAnsi="Times New Roman" w:cs="Times New Roman"/>
          <w:sz w:val="24"/>
          <w:szCs w:val="24"/>
        </w:rPr>
      </w:pPr>
    </w:p>
    <w:p w:rsidR="00FA5001" w:rsidRPr="005A6BD3" w:rsidRDefault="00FA5001" w:rsidP="004E0E7B">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It is further moved that discussion of the allocations, including the contingency, and delegation of reallocation authority to the Governor, as provided for in 32 V.S.A. Sec. 992(b), be placed on the July, 2012 Emergency Board meeting agenda.</w:t>
      </w:r>
    </w:p>
    <w:p w:rsidR="00264D80" w:rsidRPr="005A6BD3" w:rsidRDefault="00264D80" w:rsidP="00264D80">
      <w:pPr>
        <w:spacing w:after="0" w:line="240" w:lineRule="auto"/>
        <w:ind w:left="1440"/>
        <w:rPr>
          <w:rFonts w:ascii="Times New Roman" w:hAnsi="Times New Roman" w:cs="Times New Roman"/>
          <w:sz w:val="24"/>
          <w:szCs w:val="24"/>
        </w:rPr>
      </w:pPr>
    </w:p>
    <w:p w:rsidR="00264D80" w:rsidRPr="005A6BD3" w:rsidRDefault="004A2E89" w:rsidP="00264D80">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The</w:t>
      </w:r>
      <w:r w:rsidR="00264D80" w:rsidRPr="005A6BD3">
        <w:rPr>
          <w:rFonts w:ascii="Times New Roman" w:hAnsi="Times New Roman" w:cs="Times New Roman"/>
          <w:sz w:val="24"/>
          <w:szCs w:val="24"/>
        </w:rPr>
        <w:t xml:space="preserve"> motion was passed unanimously. </w:t>
      </w:r>
    </w:p>
    <w:p w:rsidR="0078249C" w:rsidRPr="005A6BD3" w:rsidRDefault="0078249C" w:rsidP="0078249C">
      <w:pPr>
        <w:spacing w:after="0" w:line="240" w:lineRule="auto"/>
        <w:rPr>
          <w:rFonts w:ascii="Times New Roman" w:hAnsi="Times New Roman" w:cs="Times New Roman"/>
          <w:sz w:val="24"/>
          <w:szCs w:val="24"/>
        </w:rPr>
      </w:pPr>
    </w:p>
    <w:p w:rsidR="005A6BD3" w:rsidRDefault="005A6BD3">
      <w:pPr>
        <w:rPr>
          <w:rFonts w:ascii="Times New Roman" w:hAnsi="Times New Roman" w:cs="Times New Roman"/>
          <w:b/>
          <w:sz w:val="24"/>
          <w:szCs w:val="24"/>
        </w:rPr>
      </w:pPr>
      <w:r>
        <w:rPr>
          <w:rFonts w:ascii="Times New Roman" w:hAnsi="Times New Roman" w:cs="Times New Roman"/>
          <w:b/>
          <w:sz w:val="24"/>
          <w:szCs w:val="24"/>
        </w:rPr>
        <w:br w:type="page"/>
      </w:r>
    </w:p>
    <w:p w:rsidR="0078249C" w:rsidRPr="005A6BD3" w:rsidRDefault="0078249C" w:rsidP="0078249C">
      <w:pPr>
        <w:spacing w:after="0" w:line="240" w:lineRule="auto"/>
        <w:ind w:left="720"/>
        <w:rPr>
          <w:rFonts w:ascii="Times New Roman" w:hAnsi="Times New Roman" w:cs="Times New Roman"/>
          <w:b/>
          <w:sz w:val="24"/>
          <w:szCs w:val="24"/>
        </w:rPr>
      </w:pPr>
      <w:r w:rsidRPr="005A6BD3">
        <w:rPr>
          <w:rFonts w:ascii="Times New Roman" w:hAnsi="Times New Roman" w:cs="Times New Roman"/>
          <w:b/>
          <w:sz w:val="24"/>
          <w:szCs w:val="24"/>
        </w:rPr>
        <w:lastRenderedPageBreak/>
        <w:t xml:space="preserve">Item 2: </w:t>
      </w:r>
      <w:r w:rsidR="00745676" w:rsidRPr="005A6BD3">
        <w:rPr>
          <w:rFonts w:ascii="Times New Roman" w:hAnsi="Times New Roman" w:cs="Times New Roman"/>
          <w:b/>
          <w:sz w:val="24"/>
          <w:szCs w:val="24"/>
        </w:rPr>
        <w:t>Presentation of the Administration’s and Joint Fiscal Office’s Reve</w:t>
      </w:r>
      <w:r w:rsidR="00841A21">
        <w:rPr>
          <w:rFonts w:ascii="Times New Roman" w:hAnsi="Times New Roman" w:cs="Times New Roman"/>
          <w:b/>
          <w:sz w:val="24"/>
          <w:szCs w:val="24"/>
        </w:rPr>
        <w:t>nue Estimate (32 VSA Sec. 3</w:t>
      </w:r>
      <w:r w:rsidR="00745676" w:rsidRPr="005A6BD3">
        <w:rPr>
          <w:rFonts w:ascii="Times New Roman" w:hAnsi="Times New Roman" w:cs="Times New Roman"/>
          <w:b/>
          <w:sz w:val="24"/>
          <w:szCs w:val="24"/>
        </w:rPr>
        <w:t>05a).</w:t>
      </w:r>
      <w:r w:rsidRPr="005A6BD3">
        <w:rPr>
          <w:rFonts w:ascii="Times New Roman" w:hAnsi="Times New Roman" w:cs="Times New Roman"/>
          <w:b/>
          <w:sz w:val="24"/>
          <w:szCs w:val="24"/>
        </w:rPr>
        <w:t xml:space="preserve"> </w:t>
      </w:r>
    </w:p>
    <w:p w:rsidR="0078249C" w:rsidRPr="005A6BD3" w:rsidRDefault="0078249C" w:rsidP="0078249C">
      <w:pPr>
        <w:spacing w:after="0" w:line="240" w:lineRule="auto"/>
        <w:ind w:left="720"/>
        <w:rPr>
          <w:rFonts w:ascii="Times New Roman" w:hAnsi="Times New Roman" w:cs="Times New Roman"/>
          <w:b/>
          <w:sz w:val="24"/>
          <w:szCs w:val="24"/>
        </w:rPr>
      </w:pPr>
    </w:p>
    <w:p w:rsidR="00270960" w:rsidRPr="005A6BD3" w:rsidRDefault="0078249C" w:rsidP="00911F45">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 xml:space="preserve">Governor Shumlin </w:t>
      </w:r>
      <w:r w:rsidR="007C65B2" w:rsidRPr="005A6BD3">
        <w:rPr>
          <w:rFonts w:ascii="Times New Roman" w:hAnsi="Times New Roman" w:cs="Times New Roman"/>
          <w:sz w:val="24"/>
          <w:szCs w:val="24"/>
        </w:rPr>
        <w:t xml:space="preserve">introduced the Administration’s and Joint Fiscal Office’s Revenue Estimate.  Jeff Carr, Consulting Economist for the Administration, and Tom Kavet, Consulting Economist for the Legislature, </w:t>
      </w:r>
      <w:r w:rsidR="00911F45" w:rsidRPr="005A6BD3">
        <w:rPr>
          <w:rFonts w:ascii="Times New Roman" w:hAnsi="Times New Roman" w:cs="Times New Roman"/>
          <w:sz w:val="24"/>
          <w:szCs w:val="24"/>
        </w:rPr>
        <w:t>presented the</w:t>
      </w:r>
      <w:r w:rsidR="007C65B2" w:rsidRPr="005A6BD3">
        <w:rPr>
          <w:rFonts w:ascii="Times New Roman" w:hAnsi="Times New Roman" w:cs="Times New Roman"/>
          <w:sz w:val="24"/>
          <w:szCs w:val="24"/>
        </w:rPr>
        <w:t xml:space="preserve"> January 2012 Economic Review and R</w:t>
      </w:r>
      <w:r w:rsidR="00270960" w:rsidRPr="005A6BD3">
        <w:rPr>
          <w:rFonts w:ascii="Times New Roman" w:hAnsi="Times New Roman" w:cs="Times New Roman"/>
          <w:sz w:val="24"/>
          <w:szCs w:val="24"/>
        </w:rPr>
        <w:t xml:space="preserve">evenue Forecast Update report. </w:t>
      </w:r>
    </w:p>
    <w:p w:rsidR="00270960" w:rsidRPr="005A6BD3" w:rsidRDefault="00270960" w:rsidP="00911F45">
      <w:pPr>
        <w:spacing w:after="0" w:line="240" w:lineRule="auto"/>
        <w:ind w:left="1440"/>
        <w:rPr>
          <w:rFonts w:ascii="Times New Roman" w:hAnsi="Times New Roman" w:cs="Times New Roman"/>
          <w:sz w:val="24"/>
          <w:szCs w:val="24"/>
        </w:rPr>
      </w:pPr>
    </w:p>
    <w:p w:rsidR="00841A21" w:rsidRDefault="00270960" w:rsidP="004A2E89">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Following</w:t>
      </w:r>
      <w:r w:rsidR="00A07346" w:rsidRPr="005A6BD3">
        <w:rPr>
          <w:rFonts w:ascii="Times New Roman" w:hAnsi="Times New Roman" w:cs="Times New Roman"/>
          <w:sz w:val="24"/>
          <w:szCs w:val="24"/>
        </w:rPr>
        <w:t xml:space="preserve"> discussion, </w:t>
      </w:r>
      <w:r w:rsidR="0092599C" w:rsidRPr="005A6BD3">
        <w:rPr>
          <w:rFonts w:ascii="Times New Roman" w:hAnsi="Times New Roman" w:cs="Times New Roman"/>
          <w:sz w:val="24"/>
          <w:szCs w:val="24"/>
        </w:rPr>
        <w:t xml:space="preserve">Representative Heath made the </w:t>
      </w:r>
      <w:r w:rsidR="004A2E89" w:rsidRPr="005A6BD3">
        <w:rPr>
          <w:rFonts w:ascii="Times New Roman" w:hAnsi="Times New Roman" w:cs="Times New Roman"/>
          <w:sz w:val="24"/>
          <w:szCs w:val="24"/>
        </w:rPr>
        <w:t xml:space="preserve">following </w:t>
      </w:r>
      <w:r w:rsidRPr="005A6BD3">
        <w:rPr>
          <w:rFonts w:ascii="Times New Roman" w:hAnsi="Times New Roman" w:cs="Times New Roman"/>
          <w:sz w:val="24"/>
          <w:szCs w:val="24"/>
        </w:rPr>
        <w:t>motion,</w:t>
      </w:r>
      <w:r w:rsidR="0092599C" w:rsidRPr="005A6BD3">
        <w:rPr>
          <w:rFonts w:ascii="Times New Roman" w:hAnsi="Times New Roman" w:cs="Times New Roman"/>
          <w:sz w:val="24"/>
          <w:szCs w:val="24"/>
        </w:rPr>
        <w:t xml:space="preserve"> seconded by </w:t>
      </w:r>
      <w:r w:rsidRPr="005A6BD3">
        <w:rPr>
          <w:rFonts w:ascii="Times New Roman" w:hAnsi="Times New Roman" w:cs="Times New Roman"/>
          <w:sz w:val="24"/>
          <w:szCs w:val="24"/>
        </w:rPr>
        <w:t>Senator Cummings</w:t>
      </w:r>
      <w:r w:rsidR="00841A21">
        <w:rPr>
          <w:rFonts w:ascii="Times New Roman" w:hAnsi="Times New Roman" w:cs="Times New Roman"/>
          <w:sz w:val="24"/>
          <w:szCs w:val="24"/>
        </w:rPr>
        <w:t>:</w:t>
      </w:r>
    </w:p>
    <w:p w:rsidR="004A2E89" w:rsidRPr="005A6BD3" w:rsidRDefault="00841A21" w:rsidP="004A2E89">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 xml:space="preserve"> </w:t>
      </w:r>
    </w:p>
    <w:p w:rsidR="004A2E89" w:rsidRPr="005A6BD3" w:rsidRDefault="004A2E89" w:rsidP="004A2E89">
      <w:pPr>
        <w:spacing w:after="0"/>
        <w:ind w:left="1440"/>
        <w:rPr>
          <w:rFonts w:ascii="Times New Roman" w:hAnsi="Times New Roman" w:cs="Times New Roman"/>
          <w:sz w:val="24"/>
          <w:szCs w:val="24"/>
        </w:rPr>
      </w:pPr>
      <w:r w:rsidRPr="005A6BD3">
        <w:rPr>
          <w:rFonts w:ascii="Times New Roman" w:hAnsi="Times New Roman" w:cs="Times New Roman"/>
          <w:sz w:val="24"/>
          <w:szCs w:val="24"/>
        </w:rPr>
        <w:t>Moved:  That the state revenue estimates pursuant to 32 VSA Sec. 305a for FY 2012, FY 2013, and FY 2014 are as follows:</w:t>
      </w:r>
    </w:p>
    <w:p w:rsidR="004A2E89" w:rsidRPr="004A2E89" w:rsidRDefault="004A2E89" w:rsidP="004A2E89">
      <w:pPr>
        <w:spacing w:after="0"/>
        <w:rPr>
          <w:rFonts w:ascii="Times New Roman" w:hAnsi="Times New Roman" w:cs="Times New Roman"/>
        </w:rPr>
      </w:pPr>
    </w:p>
    <w:tbl>
      <w:tblPr>
        <w:tblW w:w="885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1713"/>
        <w:gridCol w:w="2050"/>
        <w:gridCol w:w="2003"/>
      </w:tblGrid>
      <w:tr w:rsidR="004A2E89" w:rsidRPr="004A2E89" w:rsidTr="005A6BD3">
        <w:tc>
          <w:tcPr>
            <w:tcW w:w="3090" w:type="dxa"/>
          </w:tcPr>
          <w:p w:rsidR="004A2E89" w:rsidRPr="004A2E89" w:rsidRDefault="004A2E89" w:rsidP="005A6BD3">
            <w:pPr>
              <w:spacing w:after="0"/>
              <w:jc w:val="center"/>
              <w:rPr>
                <w:rFonts w:ascii="Times New Roman" w:hAnsi="Times New Roman" w:cs="Times New Roman"/>
              </w:rPr>
            </w:pPr>
          </w:p>
        </w:tc>
        <w:tc>
          <w:tcPr>
            <w:tcW w:w="1713" w:type="dxa"/>
          </w:tcPr>
          <w:p w:rsidR="004A2E89" w:rsidRPr="004A2E89" w:rsidRDefault="004A2E89" w:rsidP="005A6BD3">
            <w:pPr>
              <w:spacing w:after="0"/>
              <w:jc w:val="center"/>
              <w:rPr>
                <w:rFonts w:ascii="Times New Roman" w:hAnsi="Times New Roman" w:cs="Times New Roman"/>
              </w:rPr>
            </w:pPr>
            <w:r w:rsidRPr="004A2E89">
              <w:rPr>
                <w:rFonts w:ascii="Times New Roman" w:hAnsi="Times New Roman" w:cs="Times New Roman"/>
              </w:rPr>
              <w:t>Fiscal 2012</w:t>
            </w:r>
          </w:p>
          <w:p w:rsidR="004A2E89" w:rsidRPr="004A2E89" w:rsidRDefault="004A2E89" w:rsidP="005A6BD3">
            <w:pPr>
              <w:spacing w:after="0"/>
              <w:jc w:val="center"/>
              <w:rPr>
                <w:rFonts w:ascii="Times New Roman" w:hAnsi="Times New Roman" w:cs="Times New Roman"/>
              </w:rPr>
            </w:pPr>
            <w:r w:rsidRPr="004A2E89">
              <w:rPr>
                <w:rFonts w:ascii="Times New Roman" w:hAnsi="Times New Roman" w:cs="Times New Roman"/>
              </w:rPr>
              <w:t>Estimate</w:t>
            </w:r>
          </w:p>
          <w:p w:rsidR="004A2E89" w:rsidRPr="004A2E89" w:rsidRDefault="004A2E89" w:rsidP="005A6BD3">
            <w:pPr>
              <w:spacing w:after="0"/>
              <w:jc w:val="center"/>
              <w:rPr>
                <w:rFonts w:ascii="Times New Roman" w:hAnsi="Times New Roman" w:cs="Times New Roman"/>
              </w:rPr>
            </w:pPr>
            <w:r w:rsidRPr="004A2E89">
              <w:rPr>
                <w:rFonts w:ascii="Times New Roman" w:hAnsi="Times New Roman" w:cs="Times New Roman"/>
              </w:rPr>
              <w:t>(Millions)</w:t>
            </w:r>
          </w:p>
        </w:tc>
        <w:tc>
          <w:tcPr>
            <w:tcW w:w="2050" w:type="dxa"/>
          </w:tcPr>
          <w:p w:rsidR="004A2E89" w:rsidRPr="004A2E89" w:rsidRDefault="004A2E89" w:rsidP="005A6BD3">
            <w:pPr>
              <w:spacing w:after="0"/>
              <w:jc w:val="center"/>
              <w:rPr>
                <w:rFonts w:ascii="Times New Roman" w:hAnsi="Times New Roman" w:cs="Times New Roman"/>
              </w:rPr>
            </w:pPr>
            <w:r w:rsidRPr="004A2E89">
              <w:rPr>
                <w:rFonts w:ascii="Times New Roman" w:hAnsi="Times New Roman" w:cs="Times New Roman"/>
              </w:rPr>
              <w:t>Fiscal 2013</w:t>
            </w:r>
          </w:p>
          <w:p w:rsidR="004A2E89" w:rsidRPr="004A2E89" w:rsidRDefault="004A2E89" w:rsidP="005A6BD3">
            <w:pPr>
              <w:spacing w:after="0"/>
              <w:jc w:val="center"/>
              <w:rPr>
                <w:rFonts w:ascii="Times New Roman" w:hAnsi="Times New Roman" w:cs="Times New Roman"/>
              </w:rPr>
            </w:pPr>
            <w:r w:rsidRPr="004A2E89">
              <w:rPr>
                <w:rFonts w:ascii="Times New Roman" w:hAnsi="Times New Roman" w:cs="Times New Roman"/>
              </w:rPr>
              <w:t>Estimate</w:t>
            </w:r>
          </w:p>
          <w:p w:rsidR="004A2E89" w:rsidRPr="004A2E89" w:rsidRDefault="004A2E89" w:rsidP="005A6BD3">
            <w:pPr>
              <w:spacing w:after="0"/>
              <w:jc w:val="center"/>
              <w:rPr>
                <w:rFonts w:ascii="Times New Roman" w:hAnsi="Times New Roman" w:cs="Times New Roman"/>
              </w:rPr>
            </w:pPr>
            <w:r w:rsidRPr="004A2E89">
              <w:rPr>
                <w:rFonts w:ascii="Times New Roman" w:hAnsi="Times New Roman" w:cs="Times New Roman"/>
              </w:rPr>
              <w:t>(Millions)</w:t>
            </w:r>
          </w:p>
        </w:tc>
        <w:tc>
          <w:tcPr>
            <w:tcW w:w="2003" w:type="dxa"/>
          </w:tcPr>
          <w:p w:rsidR="004A2E89" w:rsidRPr="004A2E89" w:rsidRDefault="004A2E89" w:rsidP="005A6BD3">
            <w:pPr>
              <w:spacing w:after="0"/>
              <w:jc w:val="center"/>
              <w:rPr>
                <w:rFonts w:ascii="Times New Roman" w:hAnsi="Times New Roman" w:cs="Times New Roman"/>
              </w:rPr>
            </w:pPr>
            <w:r w:rsidRPr="004A2E89">
              <w:rPr>
                <w:rFonts w:ascii="Times New Roman" w:hAnsi="Times New Roman" w:cs="Times New Roman"/>
              </w:rPr>
              <w:t>Fiscal 2014</w:t>
            </w:r>
          </w:p>
          <w:p w:rsidR="004A2E89" w:rsidRPr="004A2E89" w:rsidRDefault="004A2E89" w:rsidP="005A6BD3">
            <w:pPr>
              <w:spacing w:after="0"/>
              <w:jc w:val="center"/>
              <w:rPr>
                <w:rFonts w:ascii="Times New Roman" w:hAnsi="Times New Roman" w:cs="Times New Roman"/>
              </w:rPr>
            </w:pPr>
            <w:r w:rsidRPr="004A2E89">
              <w:rPr>
                <w:rFonts w:ascii="Times New Roman" w:hAnsi="Times New Roman" w:cs="Times New Roman"/>
              </w:rPr>
              <w:t>Estimate</w:t>
            </w:r>
          </w:p>
          <w:p w:rsidR="004A2E89" w:rsidRPr="004A2E89" w:rsidRDefault="004A2E89" w:rsidP="005A6BD3">
            <w:pPr>
              <w:spacing w:after="0"/>
              <w:jc w:val="center"/>
              <w:rPr>
                <w:rFonts w:ascii="Times New Roman" w:hAnsi="Times New Roman" w:cs="Times New Roman"/>
              </w:rPr>
            </w:pPr>
            <w:r w:rsidRPr="004A2E89">
              <w:rPr>
                <w:rFonts w:ascii="Times New Roman" w:hAnsi="Times New Roman" w:cs="Times New Roman"/>
              </w:rPr>
              <w:t>(Millions)</w:t>
            </w:r>
          </w:p>
        </w:tc>
      </w:tr>
      <w:tr w:rsidR="004A2E89" w:rsidRPr="004A2E89" w:rsidTr="005A6BD3">
        <w:tc>
          <w:tcPr>
            <w:tcW w:w="3090" w:type="dxa"/>
          </w:tcPr>
          <w:p w:rsidR="004A2E89" w:rsidRPr="004A2E89" w:rsidRDefault="004A2E89" w:rsidP="005A6BD3">
            <w:pPr>
              <w:spacing w:after="0"/>
              <w:rPr>
                <w:rFonts w:ascii="Times New Roman" w:hAnsi="Times New Roman" w:cs="Times New Roman"/>
              </w:rPr>
            </w:pPr>
            <w:r w:rsidRPr="004A2E89">
              <w:rPr>
                <w:rFonts w:ascii="Times New Roman" w:hAnsi="Times New Roman" w:cs="Times New Roman"/>
              </w:rPr>
              <w:t>General Fund</w:t>
            </w:r>
          </w:p>
        </w:tc>
        <w:tc>
          <w:tcPr>
            <w:tcW w:w="171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$ 1,189.4</w:t>
            </w:r>
          </w:p>
        </w:tc>
        <w:tc>
          <w:tcPr>
            <w:tcW w:w="2050" w:type="dxa"/>
          </w:tcPr>
          <w:p w:rsidR="004A2E89" w:rsidRPr="004A2E89" w:rsidRDefault="004A2E89" w:rsidP="005138F4">
            <w:pPr>
              <w:spacing w:after="0"/>
              <w:jc w:val="right"/>
              <w:rPr>
                <w:rFonts w:ascii="Times New Roman" w:hAnsi="Times New Roman" w:cs="Times New Roman"/>
              </w:rPr>
            </w:pPr>
            <w:r w:rsidRPr="004A2E89">
              <w:rPr>
                <w:rFonts w:ascii="Times New Roman" w:hAnsi="Times New Roman" w:cs="Times New Roman"/>
              </w:rPr>
              <w:t>$ 1,257</w:t>
            </w:r>
            <w:r w:rsidR="005138F4">
              <w:rPr>
                <w:rFonts w:ascii="Times New Roman" w:hAnsi="Times New Roman" w:cs="Times New Roman"/>
              </w:rPr>
              <w:t>.</w:t>
            </w:r>
            <w:r w:rsidRPr="004A2E89">
              <w:rPr>
                <w:rFonts w:ascii="Times New Roman" w:hAnsi="Times New Roman" w:cs="Times New Roman"/>
              </w:rPr>
              <w:t>9</w:t>
            </w:r>
          </w:p>
        </w:tc>
        <w:tc>
          <w:tcPr>
            <w:tcW w:w="200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$ 1,341.1</w:t>
            </w:r>
          </w:p>
        </w:tc>
      </w:tr>
      <w:tr w:rsidR="004A2E89" w:rsidRPr="004A2E89" w:rsidTr="005A6BD3">
        <w:tc>
          <w:tcPr>
            <w:tcW w:w="3090" w:type="dxa"/>
          </w:tcPr>
          <w:p w:rsidR="004A2E89" w:rsidRPr="004A2E89" w:rsidRDefault="004A2E89" w:rsidP="005A6BD3">
            <w:pPr>
              <w:spacing w:after="0"/>
              <w:rPr>
                <w:rFonts w:ascii="Times New Roman" w:hAnsi="Times New Roman" w:cs="Times New Roman"/>
              </w:rPr>
            </w:pPr>
            <w:r w:rsidRPr="004A2E89">
              <w:rPr>
                <w:rFonts w:ascii="Times New Roman" w:hAnsi="Times New Roman" w:cs="Times New Roman"/>
              </w:rPr>
              <w:t>Transportation Fund</w:t>
            </w:r>
          </w:p>
        </w:tc>
        <w:tc>
          <w:tcPr>
            <w:tcW w:w="171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$ 225.2</w:t>
            </w:r>
          </w:p>
        </w:tc>
        <w:tc>
          <w:tcPr>
            <w:tcW w:w="2050"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$ 231.1</w:t>
            </w:r>
          </w:p>
        </w:tc>
        <w:tc>
          <w:tcPr>
            <w:tcW w:w="200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$ 238.9</w:t>
            </w:r>
          </w:p>
        </w:tc>
      </w:tr>
      <w:tr w:rsidR="004A2E89" w:rsidRPr="004A2E89" w:rsidTr="005A6BD3">
        <w:tc>
          <w:tcPr>
            <w:tcW w:w="3090" w:type="dxa"/>
          </w:tcPr>
          <w:p w:rsidR="004A2E89" w:rsidRPr="004A2E89" w:rsidRDefault="004A2E89" w:rsidP="005A6BD3">
            <w:pPr>
              <w:spacing w:after="0"/>
              <w:rPr>
                <w:rFonts w:ascii="Times New Roman" w:hAnsi="Times New Roman" w:cs="Times New Roman"/>
              </w:rPr>
            </w:pPr>
            <w:r w:rsidRPr="004A2E89">
              <w:rPr>
                <w:rFonts w:ascii="Times New Roman" w:hAnsi="Times New Roman" w:cs="Times New Roman"/>
              </w:rPr>
              <w:t>Transportation Infrastructure Bond (TIB) Fund</w:t>
            </w:r>
          </w:p>
        </w:tc>
        <w:tc>
          <w:tcPr>
            <w:tcW w:w="171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$ 22.5</w:t>
            </w:r>
          </w:p>
        </w:tc>
        <w:tc>
          <w:tcPr>
            <w:tcW w:w="2050"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$ 22.8</w:t>
            </w:r>
          </w:p>
        </w:tc>
        <w:tc>
          <w:tcPr>
            <w:tcW w:w="200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$ 24.0</w:t>
            </w:r>
          </w:p>
        </w:tc>
      </w:tr>
      <w:tr w:rsidR="004A2E89" w:rsidRPr="004A2E89" w:rsidTr="005A6BD3">
        <w:tc>
          <w:tcPr>
            <w:tcW w:w="3090" w:type="dxa"/>
          </w:tcPr>
          <w:p w:rsidR="004A2E89" w:rsidRPr="004A2E89" w:rsidRDefault="004A2E89" w:rsidP="005A6BD3">
            <w:pPr>
              <w:spacing w:after="0"/>
              <w:rPr>
                <w:rFonts w:ascii="Times New Roman" w:hAnsi="Times New Roman" w:cs="Times New Roman"/>
              </w:rPr>
            </w:pPr>
            <w:r w:rsidRPr="004A2E89">
              <w:rPr>
                <w:rFonts w:ascii="Times New Roman" w:hAnsi="Times New Roman" w:cs="Times New Roman"/>
              </w:rPr>
              <w:t>Education Fund</w:t>
            </w:r>
          </w:p>
        </w:tc>
        <w:tc>
          <w:tcPr>
            <w:tcW w:w="171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$ 162.3</w:t>
            </w:r>
          </w:p>
        </w:tc>
        <w:tc>
          <w:tcPr>
            <w:tcW w:w="2050"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$ 168.6</w:t>
            </w:r>
          </w:p>
        </w:tc>
        <w:tc>
          <w:tcPr>
            <w:tcW w:w="200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$ 175.0</w:t>
            </w:r>
          </w:p>
        </w:tc>
      </w:tr>
      <w:tr w:rsidR="004A2E89" w:rsidRPr="004A2E89" w:rsidTr="005A6BD3">
        <w:tc>
          <w:tcPr>
            <w:tcW w:w="3090" w:type="dxa"/>
          </w:tcPr>
          <w:p w:rsidR="004A2E89" w:rsidRPr="004A2E89" w:rsidRDefault="004A2E89" w:rsidP="005A6BD3">
            <w:pPr>
              <w:spacing w:after="0"/>
              <w:rPr>
                <w:rFonts w:ascii="Times New Roman" w:hAnsi="Times New Roman" w:cs="Times New Roman"/>
              </w:rPr>
            </w:pPr>
            <w:r w:rsidRPr="004A2E89">
              <w:rPr>
                <w:rFonts w:ascii="Times New Roman" w:hAnsi="Times New Roman" w:cs="Times New Roman"/>
              </w:rPr>
              <w:t>Gross Receipts Tax</w:t>
            </w:r>
          </w:p>
        </w:tc>
        <w:tc>
          <w:tcPr>
            <w:tcW w:w="171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$ 8.2</w:t>
            </w:r>
          </w:p>
        </w:tc>
        <w:tc>
          <w:tcPr>
            <w:tcW w:w="2050"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$ 8.1</w:t>
            </w:r>
          </w:p>
        </w:tc>
        <w:tc>
          <w:tcPr>
            <w:tcW w:w="200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$ 8.3</w:t>
            </w:r>
          </w:p>
        </w:tc>
      </w:tr>
      <w:tr w:rsidR="004A2E89" w:rsidRPr="004A2E89" w:rsidTr="005A6BD3">
        <w:tc>
          <w:tcPr>
            <w:tcW w:w="3090" w:type="dxa"/>
          </w:tcPr>
          <w:p w:rsidR="004A2E89" w:rsidRPr="004A2E89" w:rsidRDefault="004A2E89" w:rsidP="005A6BD3">
            <w:pPr>
              <w:spacing w:after="0"/>
              <w:rPr>
                <w:rFonts w:ascii="Times New Roman" w:hAnsi="Times New Roman" w:cs="Times New Roman"/>
              </w:rPr>
            </w:pPr>
            <w:r w:rsidRPr="004A2E89">
              <w:rPr>
                <w:rFonts w:ascii="Times New Roman" w:hAnsi="Times New Roman" w:cs="Times New Roman"/>
              </w:rPr>
              <w:t>Federal Funds</w:t>
            </w:r>
          </w:p>
        </w:tc>
        <w:tc>
          <w:tcPr>
            <w:tcW w:w="171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$ 1,592.0</w:t>
            </w:r>
          </w:p>
        </w:tc>
        <w:tc>
          <w:tcPr>
            <w:tcW w:w="2050"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w:t>
            </w:r>
          </w:p>
        </w:tc>
        <w:tc>
          <w:tcPr>
            <w:tcW w:w="2003" w:type="dxa"/>
          </w:tcPr>
          <w:p w:rsidR="004A2E89" w:rsidRPr="004A2E89" w:rsidRDefault="004A2E89" w:rsidP="005A6BD3">
            <w:pPr>
              <w:spacing w:after="0"/>
              <w:jc w:val="right"/>
              <w:rPr>
                <w:rFonts w:ascii="Times New Roman" w:hAnsi="Times New Roman" w:cs="Times New Roman"/>
              </w:rPr>
            </w:pPr>
            <w:r w:rsidRPr="004A2E89">
              <w:rPr>
                <w:rFonts w:ascii="Times New Roman" w:hAnsi="Times New Roman" w:cs="Times New Roman"/>
              </w:rPr>
              <w:t>----</w:t>
            </w:r>
          </w:p>
        </w:tc>
      </w:tr>
    </w:tbl>
    <w:p w:rsidR="004A2E89" w:rsidRDefault="004A2E89" w:rsidP="004A2E89">
      <w:pPr>
        <w:spacing w:after="0"/>
      </w:pPr>
    </w:p>
    <w:p w:rsidR="0092599C" w:rsidRPr="005A6BD3" w:rsidRDefault="0092599C" w:rsidP="00911F45">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The motion was passed unanimously.</w:t>
      </w:r>
    </w:p>
    <w:p w:rsidR="00270960" w:rsidRPr="005A6BD3" w:rsidRDefault="00270960" w:rsidP="00911F45">
      <w:pPr>
        <w:spacing w:after="0" w:line="240" w:lineRule="auto"/>
        <w:ind w:left="1440"/>
        <w:rPr>
          <w:rFonts w:ascii="Times New Roman" w:hAnsi="Times New Roman" w:cs="Times New Roman"/>
          <w:sz w:val="24"/>
          <w:szCs w:val="24"/>
        </w:rPr>
      </w:pPr>
    </w:p>
    <w:p w:rsidR="00270960" w:rsidRPr="005A6BD3" w:rsidRDefault="00270960" w:rsidP="00270960">
      <w:pPr>
        <w:spacing w:after="0" w:line="240" w:lineRule="auto"/>
        <w:ind w:left="720"/>
        <w:rPr>
          <w:rFonts w:ascii="Times New Roman" w:hAnsi="Times New Roman" w:cs="Times New Roman"/>
          <w:b/>
          <w:sz w:val="24"/>
          <w:szCs w:val="24"/>
        </w:rPr>
      </w:pPr>
      <w:r w:rsidRPr="005A6BD3">
        <w:rPr>
          <w:rFonts w:ascii="Times New Roman" w:hAnsi="Times New Roman" w:cs="Times New Roman"/>
          <w:b/>
          <w:sz w:val="24"/>
          <w:szCs w:val="24"/>
        </w:rPr>
        <w:t xml:space="preserve">Presentation </w:t>
      </w:r>
      <w:r w:rsidR="00841A21">
        <w:rPr>
          <w:rFonts w:ascii="Times New Roman" w:hAnsi="Times New Roman" w:cs="Times New Roman"/>
          <w:b/>
          <w:sz w:val="24"/>
          <w:szCs w:val="24"/>
        </w:rPr>
        <w:t>of the Vermont Medicaid Program</w:t>
      </w:r>
      <w:r w:rsidRPr="005A6BD3">
        <w:rPr>
          <w:rFonts w:ascii="Times New Roman" w:hAnsi="Times New Roman" w:cs="Times New Roman"/>
          <w:b/>
          <w:sz w:val="24"/>
          <w:szCs w:val="24"/>
        </w:rPr>
        <w:t xml:space="preserve"> Estimated Caseloads and Estimated Per Member </w:t>
      </w:r>
      <w:proofErr w:type="gramStart"/>
      <w:r w:rsidRPr="005A6BD3">
        <w:rPr>
          <w:rFonts w:ascii="Times New Roman" w:hAnsi="Times New Roman" w:cs="Times New Roman"/>
          <w:b/>
          <w:sz w:val="24"/>
          <w:szCs w:val="24"/>
        </w:rPr>
        <w:t>Per</w:t>
      </w:r>
      <w:proofErr w:type="gramEnd"/>
      <w:r w:rsidRPr="005A6BD3">
        <w:rPr>
          <w:rFonts w:ascii="Times New Roman" w:hAnsi="Times New Roman" w:cs="Times New Roman"/>
          <w:b/>
          <w:sz w:val="24"/>
          <w:szCs w:val="24"/>
        </w:rPr>
        <w:t xml:space="preserve"> Month Expenditures, and State Revenue Estimates for Health Care and Medicaid Funds. </w:t>
      </w:r>
    </w:p>
    <w:p w:rsidR="00270960" w:rsidRPr="005A6BD3" w:rsidRDefault="00270960" w:rsidP="00270960">
      <w:pPr>
        <w:spacing w:after="0" w:line="240" w:lineRule="auto"/>
        <w:ind w:left="720"/>
        <w:rPr>
          <w:rFonts w:ascii="Times New Roman" w:hAnsi="Times New Roman" w:cs="Times New Roman"/>
          <w:b/>
          <w:sz w:val="24"/>
          <w:szCs w:val="24"/>
        </w:rPr>
      </w:pPr>
    </w:p>
    <w:p w:rsidR="00841A21" w:rsidRDefault="00270960" w:rsidP="00270960">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 xml:space="preserve">Governor Shumlin introduced the </w:t>
      </w:r>
      <w:r w:rsidR="00841A21">
        <w:rPr>
          <w:rFonts w:ascii="Times New Roman" w:hAnsi="Times New Roman" w:cs="Times New Roman"/>
          <w:sz w:val="24"/>
          <w:szCs w:val="24"/>
        </w:rPr>
        <w:t xml:space="preserve">information on the </w:t>
      </w:r>
      <w:r w:rsidRPr="005A6BD3">
        <w:rPr>
          <w:rFonts w:ascii="Times New Roman" w:hAnsi="Times New Roman" w:cs="Times New Roman"/>
          <w:sz w:val="24"/>
          <w:szCs w:val="24"/>
        </w:rPr>
        <w:t>Vermont Medicaid Program</w:t>
      </w:r>
      <w:r w:rsidR="00841A21">
        <w:rPr>
          <w:rFonts w:ascii="Times New Roman" w:hAnsi="Times New Roman" w:cs="Times New Roman"/>
          <w:sz w:val="24"/>
          <w:szCs w:val="24"/>
        </w:rPr>
        <w:t xml:space="preserve">.  Stephanie Barrett of the Joint Fiscal Office presented the </w:t>
      </w:r>
      <w:r w:rsidRPr="005A6BD3">
        <w:rPr>
          <w:rFonts w:ascii="Times New Roman" w:hAnsi="Times New Roman" w:cs="Times New Roman"/>
          <w:sz w:val="24"/>
          <w:szCs w:val="24"/>
        </w:rPr>
        <w:t>estimated caseloads and estimated per member per month expenditures, and state revenue estimates for health care and Medicaid funds</w:t>
      </w:r>
      <w:r w:rsidR="00841A21">
        <w:rPr>
          <w:rFonts w:ascii="Times New Roman" w:hAnsi="Times New Roman" w:cs="Times New Roman"/>
          <w:sz w:val="24"/>
          <w:szCs w:val="24"/>
        </w:rPr>
        <w:t>.</w:t>
      </w:r>
    </w:p>
    <w:p w:rsidR="00270960" w:rsidRPr="005A6BD3" w:rsidRDefault="00841A21" w:rsidP="00270960">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 xml:space="preserve"> </w:t>
      </w:r>
    </w:p>
    <w:p w:rsidR="00270960" w:rsidRPr="005A6BD3" w:rsidRDefault="00270960" w:rsidP="00270960">
      <w:pPr>
        <w:spacing w:after="0" w:line="240" w:lineRule="auto"/>
        <w:ind w:left="1440"/>
        <w:rPr>
          <w:rFonts w:ascii="Times New Roman" w:hAnsi="Times New Roman" w:cs="Times New Roman"/>
          <w:sz w:val="24"/>
          <w:szCs w:val="24"/>
        </w:rPr>
      </w:pPr>
      <w:r w:rsidRPr="005A6BD3">
        <w:rPr>
          <w:rFonts w:ascii="Times New Roman" w:hAnsi="Times New Roman" w:cs="Times New Roman"/>
          <w:sz w:val="24"/>
          <w:szCs w:val="24"/>
        </w:rPr>
        <w:t xml:space="preserve">Following discussion, </w:t>
      </w:r>
      <w:r w:rsidR="00FD1870" w:rsidRPr="005A6BD3">
        <w:rPr>
          <w:rFonts w:ascii="Times New Roman" w:hAnsi="Times New Roman" w:cs="Times New Roman"/>
          <w:sz w:val="24"/>
          <w:szCs w:val="24"/>
        </w:rPr>
        <w:t xml:space="preserve">Representative Heath made the </w:t>
      </w:r>
      <w:r w:rsidR="004A2E89" w:rsidRPr="005A6BD3">
        <w:rPr>
          <w:rFonts w:ascii="Times New Roman" w:hAnsi="Times New Roman" w:cs="Times New Roman"/>
          <w:sz w:val="24"/>
          <w:szCs w:val="24"/>
        </w:rPr>
        <w:t xml:space="preserve">following </w:t>
      </w:r>
      <w:r w:rsidR="00FD1870" w:rsidRPr="005A6BD3">
        <w:rPr>
          <w:rFonts w:ascii="Times New Roman" w:hAnsi="Times New Roman" w:cs="Times New Roman"/>
          <w:sz w:val="24"/>
          <w:szCs w:val="24"/>
        </w:rPr>
        <w:t>motion, seconded by Senator Kitchel</w:t>
      </w:r>
      <w:r w:rsidR="00841A21">
        <w:rPr>
          <w:rFonts w:ascii="Times New Roman" w:hAnsi="Times New Roman" w:cs="Times New Roman"/>
          <w:sz w:val="24"/>
          <w:szCs w:val="24"/>
        </w:rPr>
        <w:t>:</w:t>
      </w:r>
    </w:p>
    <w:p w:rsidR="00270960" w:rsidRPr="005A6BD3" w:rsidRDefault="00270960" w:rsidP="00270960">
      <w:pPr>
        <w:spacing w:after="0" w:line="240" w:lineRule="auto"/>
        <w:rPr>
          <w:rFonts w:ascii="Times New Roman" w:hAnsi="Times New Roman" w:cs="Times New Roman"/>
          <w:sz w:val="24"/>
          <w:szCs w:val="24"/>
        </w:rPr>
      </w:pPr>
    </w:p>
    <w:p w:rsidR="005138F4" w:rsidRDefault="005138F4">
      <w:pPr>
        <w:rPr>
          <w:rFonts w:ascii="Times New Roman" w:hAnsi="Times New Roman" w:cs="Times New Roman"/>
          <w:sz w:val="24"/>
          <w:szCs w:val="24"/>
        </w:rPr>
      </w:pPr>
      <w:r>
        <w:rPr>
          <w:rFonts w:ascii="Times New Roman" w:hAnsi="Times New Roman" w:cs="Times New Roman"/>
          <w:sz w:val="24"/>
          <w:szCs w:val="24"/>
        </w:rPr>
        <w:br w:type="page"/>
      </w:r>
    </w:p>
    <w:p w:rsidR="005A6BD3" w:rsidRDefault="005A6BD3" w:rsidP="005A6BD3">
      <w:pPr>
        <w:spacing w:after="0"/>
        <w:ind w:left="720"/>
        <w:rPr>
          <w:rFonts w:ascii="Times New Roman" w:hAnsi="Times New Roman" w:cs="Times New Roman"/>
          <w:sz w:val="24"/>
          <w:szCs w:val="24"/>
        </w:rPr>
      </w:pPr>
      <w:r w:rsidRPr="005A6BD3">
        <w:rPr>
          <w:rFonts w:ascii="Times New Roman" w:hAnsi="Times New Roman" w:cs="Times New Roman"/>
          <w:sz w:val="24"/>
          <w:szCs w:val="24"/>
        </w:rPr>
        <w:lastRenderedPageBreak/>
        <w:t xml:space="preserve">Moved:  That the Vermont Medicaid Program estimated caseloads and estimated per member per month expenditures for FY 2012 and FY 2013; and state revenue estimates for health care and Medicaid Funds pursuant to 32 VSA Sec. </w:t>
      </w:r>
      <w:r w:rsidR="00841A21">
        <w:rPr>
          <w:rFonts w:ascii="Times New Roman" w:hAnsi="Times New Roman" w:cs="Times New Roman"/>
          <w:sz w:val="24"/>
          <w:szCs w:val="24"/>
        </w:rPr>
        <w:t xml:space="preserve">305a </w:t>
      </w:r>
      <w:r w:rsidRPr="005A6BD3">
        <w:rPr>
          <w:rFonts w:ascii="Times New Roman" w:hAnsi="Times New Roman" w:cs="Times New Roman"/>
          <w:sz w:val="24"/>
          <w:szCs w:val="24"/>
        </w:rPr>
        <w:t>are as follows:</w:t>
      </w:r>
    </w:p>
    <w:p w:rsidR="005138F4" w:rsidRPr="005A6BD3" w:rsidRDefault="005138F4" w:rsidP="005A6BD3">
      <w:pPr>
        <w:spacing w:after="0"/>
        <w:ind w:left="720"/>
        <w:rPr>
          <w:rFonts w:ascii="Times New Roman" w:hAnsi="Times New Roman" w:cs="Times New Roman"/>
          <w:sz w:val="24"/>
          <w:szCs w:val="24"/>
        </w:rPr>
      </w:pPr>
    </w:p>
    <w:p w:rsidR="005A6BD3" w:rsidRPr="005A6BD3" w:rsidRDefault="005A6BD3" w:rsidP="005A6BD3">
      <w:pPr>
        <w:pStyle w:val="ListParagraph"/>
        <w:numPr>
          <w:ilvl w:val="0"/>
          <w:numId w:val="3"/>
        </w:numPr>
        <w:rPr>
          <w:rFonts w:ascii="Times New Roman" w:hAnsi="Times New Roman" w:cs="Times New Roman"/>
          <w:b/>
        </w:rPr>
      </w:pPr>
      <w:r w:rsidRPr="005A6BD3">
        <w:rPr>
          <w:rFonts w:ascii="Times New Roman" w:hAnsi="Times New Roman" w:cs="Times New Roman"/>
          <w:b/>
        </w:rPr>
        <w:t>Projected Enrollment and Per Member Per Month Expenditures</w:t>
      </w:r>
    </w:p>
    <w:p w:rsidR="005A6BD3" w:rsidRPr="005A6BD3" w:rsidRDefault="005A6BD3" w:rsidP="005A6BD3">
      <w:pPr>
        <w:spacing w:after="0" w:line="240" w:lineRule="auto"/>
        <w:ind w:left="180"/>
        <w:jc w:val="both"/>
        <w:rPr>
          <w:rFonts w:ascii="Times New Roman" w:hAnsi="Times New Roman" w:cs="Times New Roman"/>
          <w:b/>
        </w:rPr>
      </w:pPr>
    </w:p>
    <w:tbl>
      <w:tblPr>
        <w:tblW w:w="10282" w:type="dxa"/>
        <w:tblInd w:w="-432" w:type="dxa"/>
        <w:tblLayout w:type="fixed"/>
        <w:tblLook w:val="0000"/>
      </w:tblPr>
      <w:tblGrid>
        <w:gridCol w:w="4320"/>
        <w:gridCol w:w="1170"/>
        <w:gridCol w:w="1170"/>
        <w:gridCol w:w="1800"/>
        <w:gridCol w:w="1822"/>
      </w:tblGrid>
      <w:tr w:rsidR="005A6BD3" w:rsidRPr="005A6BD3" w:rsidTr="009D28DE">
        <w:trPr>
          <w:trHeight w:val="330"/>
        </w:trPr>
        <w:tc>
          <w:tcPr>
            <w:tcW w:w="4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A6BD3" w:rsidRPr="005A6BD3" w:rsidRDefault="005A6BD3" w:rsidP="005A6BD3">
            <w:pPr>
              <w:spacing w:after="0"/>
              <w:jc w:val="center"/>
              <w:rPr>
                <w:rFonts w:ascii="Times New Roman" w:hAnsi="Times New Roman" w:cs="Times New Roman"/>
                <w:b/>
                <w:bCs/>
              </w:rPr>
            </w:pPr>
            <w:r w:rsidRPr="005A6BD3">
              <w:rPr>
                <w:rFonts w:ascii="Times New Roman" w:hAnsi="Times New Roman" w:cs="Times New Roman"/>
                <w:b/>
                <w:bCs/>
              </w:rPr>
              <w:t>Eligibility Category</w:t>
            </w:r>
            <w:r w:rsidRPr="005A6BD3">
              <w:rPr>
                <w:rFonts w:ascii="Times New Roman" w:hAnsi="Times New Roman" w:cs="Times New Roman"/>
                <w:b/>
                <w:bCs/>
                <w:vertAlign w:val="superscript"/>
              </w:rPr>
              <w:t>1</w:t>
            </w:r>
          </w:p>
        </w:tc>
        <w:tc>
          <w:tcPr>
            <w:tcW w:w="2340" w:type="dxa"/>
            <w:gridSpan w:val="2"/>
            <w:tcBorders>
              <w:top w:val="single" w:sz="8" w:space="0" w:color="auto"/>
              <w:left w:val="nil"/>
              <w:bottom w:val="single" w:sz="8" w:space="0" w:color="auto"/>
              <w:right w:val="single" w:sz="8" w:space="0" w:color="000000"/>
            </w:tcBorders>
            <w:shd w:val="clear" w:color="auto" w:fill="auto"/>
            <w:noWrap/>
            <w:vAlign w:val="bottom"/>
          </w:tcPr>
          <w:p w:rsidR="005A6BD3" w:rsidRPr="005A6BD3" w:rsidRDefault="005A6BD3" w:rsidP="005A6BD3">
            <w:pPr>
              <w:spacing w:after="0"/>
              <w:jc w:val="center"/>
              <w:rPr>
                <w:rFonts w:ascii="Times New Roman" w:hAnsi="Times New Roman" w:cs="Times New Roman"/>
                <w:b/>
                <w:bCs/>
              </w:rPr>
            </w:pPr>
            <w:r w:rsidRPr="005A6BD3">
              <w:rPr>
                <w:rFonts w:ascii="Times New Roman" w:hAnsi="Times New Roman" w:cs="Times New Roman"/>
                <w:b/>
                <w:bCs/>
              </w:rPr>
              <w:t>Enrollment</w:t>
            </w:r>
          </w:p>
        </w:tc>
        <w:tc>
          <w:tcPr>
            <w:tcW w:w="3622" w:type="dxa"/>
            <w:gridSpan w:val="2"/>
            <w:tcBorders>
              <w:top w:val="single" w:sz="8" w:space="0" w:color="auto"/>
              <w:left w:val="nil"/>
              <w:bottom w:val="single" w:sz="8" w:space="0" w:color="auto"/>
              <w:right w:val="single" w:sz="8" w:space="0" w:color="000000"/>
            </w:tcBorders>
            <w:shd w:val="clear" w:color="auto" w:fill="auto"/>
            <w:noWrap/>
            <w:vAlign w:val="bottom"/>
          </w:tcPr>
          <w:p w:rsidR="005A6BD3" w:rsidRPr="005A6BD3" w:rsidRDefault="005A6BD3" w:rsidP="005A6BD3">
            <w:pPr>
              <w:spacing w:after="0"/>
              <w:jc w:val="center"/>
              <w:rPr>
                <w:rFonts w:ascii="Times New Roman" w:hAnsi="Times New Roman" w:cs="Times New Roman"/>
                <w:b/>
                <w:bCs/>
              </w:rPr>
            </w:pPr>
            <w:r w:rsidRPr="005A6BD3">
              <w:rPr>
                <w:rFonts w:ascii="Times New Roman" w:hAnsi="Times New Roman" w:cs="Times New Roman"/>
                <w:b/>
                <w:bCs/>
              </w:rPr>
              <w:t>PMPM Expenditures</w:t>
            </w:r>
            <w:r w:rsidRPr="005A6BD3">
              <w:rPr>
                <w:rFonts w:ascii="Times New Roman" w:hAnsi="Times New Roman" w:cs="Times New Roman"/>
                <w:b/>
                <w:bCs/>
                <w:vertAlign w:val="superscript"/>
              </w:rPr>
              <w:t>5</w:t>
            </w:r>
          </w:p>
        </w:tc>
      </w:tr>
      <w:tr w:rsidR="005A6BD3" w:rsidRPr="005A6BD3" w:rsidTr="009D28DE">
        <w:trPr>
          <w:trHeight w:val="255"/>
        </w:trPr>
        <w:tc>
          <w:tcPr>
            <w:tcW w:w="4320" w:type="dxa"/>
            <w:vMerge/>
            <w:tcBorders>
              <w:top w:val="single" w:sz="8" w:space="0" w:color="auto"/>
              <w:left w:val="single" w:sz="8" w:space="0" w:color="auto"/>
              <w:bottom w:val="single" w:sz="8" w:space="0" w:color="000000"/>
              <w:right w:val="single" w:sz="8" w:space="0" w:color="auto"/>
            </w:tcBorders>
            <w:vAlign w:val="center"/>
          </w:tcPr>
          <w:p w:rsidR="005A6BD3" w:rsidRPr="005A6BD3" w:rsidRDefault="005A6BD3" w:rsidP="005A6BD3">
            <w:pPr>
              <w:spacing w:after="0"/>
              <w:rPr>
                <w:rFonts w:ascii="Times New Roman" w:hAnsi="Times New Roman" w:cs="Times New Roman"/>
                <w:b/>
                <w:bCs/>
              </w:rPr>
            </w:pPr>
          </w:p>
        </w:tc>
        <w:tc>
          <w:tcPr>
            <w:tcW w:w="1170" w:type="dxa"/>
            <w:tcBorders>
              <w:top w:val="nil"/>
              <w:left w:val="nil"/>
              <w:bottom w:val="nil"/>
              <w:right w:val="single" w:sz="8" w:space="0" w:color="auto"/>
            </w:tcBorders>
            <w:shd w:val="clear" w:color="auto" w:fill="auto"/>
            <w:noWrap/>
            <w:vAlign w:val="bottom"/>
          </w:tcPr>
          <w:p w:rsidR="005A6BD3" w:rsidRPr="005A6BD3" w:rsidRDefault="005A6BD3" w:rsidP="005A6BD3">
            <w:pPr>
              <w:spacing w:after="0"/>
              <w:jc w:val="center"/>
              <w:rPr>
                <w:rFonts w:ascii="Times New Roman" w:hAnsi="Times New Roman" w:cs="Times New Roman"/>
                <w:b/>
                <w:bCs/>
              </w:rPr>
            </w:pPr>
            <w:r w:rsidRPr="005A6BD3">
              <w:rPr>
                <w:rFonts w:ascii="Times New Roman" w:hAnsi="Times New Roman" w:cs="Times New Roman"/>
                <w:b/>
                <w:bCs/>
              </w:rPr>
              <w:t>SFY '12</w:t>
            </w:r>
          </w:p>
        </w:tc>
        <w:tc>
          <w:tcPr>
            <w:tcW w:w="1170" w:type="dxa"/>
            <w:tcBorders>
              <w:top w:val="nil"/>
              <w:left w:val="nil"/>
              <w:bottom w:val="nil"/>
              <w:right w:val="single" w:sz="8" w:space="0" w:color="auto"/>
            </w:tcBorders>
            <w:shd w:val="clear" w:color="auto" w:fill="auto"/>
            <w:noWrap/>
            <w:vAlign w:val="bottom"/>
          </w:tcPr>
          <w:p w:rsidR="005A6BD3" w:rsidRPr="005A6BD3" w:rsidRDefault="005A6BD3" w:rsidP="005A6BD3">
            <w:pPr>
              <w:spacing w:after="0"/>
              <w:jc w:val="center"/>
              <w:rPr>
                <w:rFonts w:ascii="Times New Roman" w:hAnsi="Times New Roman" w:cs="Times New Roman"/>
                <w:b/>
                <w:bCs/>
              </w:rPr>
            </w:pPr>
            <w:r w:rsidRPr="005A6BD3">
              <w:rPr>
                <w:rFonts w:ascii="Times New Roman" w:hAnsi="Times New Roman" w:cs="Times New Roman"/>
                <w:b/>
                <w:bCs/>
              </w:rPr>
              <w:t>SFY '13</w:t>
            </w:r>
          </w:p>
        </w:tc>
        <w:tc>
          <w:tcPr>
            <w:tcW w:w="1800" w:type="dxa"/>
            <w:tcBorders>
              <w:top w:val="nil"/>
              <w:left w:val="nil"/>
              <w:bottom w:val="nil"/>
              <w:right w:val="single" w:sz="8" w:space="0" w:color="auto"/>
            </w:tcBorders>
            <w:shd w:val="clear" w:color="auto" w:fill="auto"/>
            <w:noWrap/>
            <w:vAlign w:val="bottom"/>
          </w:tcPr>
          <w:p w:rsidR="005A6BD3" w:rsidRPr="005A6BD3" w:rsidRDefault="005A6BD3" w:rsidP="005A6BD3">
            <w:pPr>
              <w:spacing w:after="0"/>
              <w:jc w:val="center"/>
              <w:rPr>
                <w:rFonts w:ascii="Times New Roman" w:hAnsi="Times New Roman" w:cs="Times New Roman"/>
                <w:b/>
                <w:bCs/>
              </w:rPr>
            </w:pPr>
            <w:r w:rsidRPr="005A6BD3">
              <w:rPr>
                <w:rFonts w:ascii="Times New Roman" w:hAnsi="Times New Roman" w:cs="Times New Roman"/>
                <w:b/>
                <w:bCs/>
              </w:rPr>
              <w:t>SFY '12</w:t>
            </w:r>
          </w:p>
        </w:tc>
        <w:tc>
          <w:tcPr>
            <w:tcW w:w="1822" w:type="dxa"/>
            <w:tcBorders>
              <w:top w:val="nil"/>
              <w:left w:val="nil"/>
              <w:bottom w:val="nil"/>
              <w:right w:val="single" w:sz="8" w:space="0" w:color="auto"/>
            </w:tcBorders>
            <w:shd w:val="clear" w:color="auto" w:fill="auto"/>
            <w:noWrap/>
            <w:vAlign w:val="bottom"/>
          </w:tcPr>
          <w:p w:rsidR="005A6BD3" w:rsidRPr="005A6BD3" w:rsidRDefault="005A6BD3" w:rsidP="005A6BD3">
            <w:pPr>
              <w:spacing w:after="0"/>
              <w:jc w:val="center"/>
              <w:rPr>
                <w:rFonts w:ascii="Times New Roman" w:hAnsi="Times New Roman" w:cs="Times New Roman"/>
                <w:b/>
                <w:bCs/>
              </w:rPr>
            </w:pPr>
            <w:r w:rsidRPr="005A6BD3">
              <w:rPr>
                <w:rFonts w:ascii="Times New Roman" w:hAnsi="Times New Roman" w:cs="Times New Roman"/>
                <w:b/>
                <w:bCs/>
              </w:rPr>
              <w:t>SFY '13</w:t>
            </w:r>
          </w:p>
        </w:tc>
      </w:tr>
      <w:tr w:rsidR="005A6BD3" w:rsidRPr="005A6BD3" w:rsidTr="009D28DE">
        <w:trPr>
          <w:trHeight w:val="270"/>
        </w:trPr>
        <w:tc>
          <w:tcPr>
            <w:tcW w:w="4320" w:type="dxa"/>
            <w:vMerge/>
            <w:tcBorders>
              <w:top w:val="single" w:sz="8" w:space="0" w:color="auto"/>
              <w:left w:val="single" w:sz="8" w:space="0" w:color="auto"/>
              <w:bottom w:val="single" w:sz="8" w:space="0" w:color="000000"/>
              <w:right w:val="single" w:sz="8" w:space="0" w:color="auto"/>
            </w:tcBorders>
            <w:vAlign w:val="center"/>
          </w:tcPr>
          <w:p w:rsidR="005A6BD3" w:rsidRPr="005A6BD3" w:rsidRDefault="005A6BD3" w:rsidP="005A6BD3">
            <w:pPr>
              <w:spacing w:after="0"/>
              <w:rPr>
                <w:rFonts w:ascii="Times New Roman" w:hAnsi="Times New Roman" w:cs="Times New Roman"/>
                <w:b/>
                <w:bCs/>
              </w:rPr>
            </w:pPr>
          </w:p>
        </w:tc>
        <w:tc>
          <w:tcPr>
            <w:tcW w:w="1170" w:type="dxa"/>
            <w:tcBorders>
              <w:top w:val="nil"/>
              <w:left w:val="nil"/>
              <w:bottom w:val="nil"/>
              <w:right w:val="single" w:sz="8" w:space="0" w:color="auto"/>
            </w:tcBorders>
            <w:shd w:val="clear" w:color="auto" w:fill="auto"/>
            <w:noWrap/>
            <w:vAlign w:val="bottom"/>
          </w:tcPr>
          <w:p w:rsidR="005A6BD3" w:rsidRPr="005A6BD3" w:rsidRDefault="005A6BD3" w:rsidP="005A6BD3">
            <w:pPr>
              <w:spacing w:after="0"/>
              <w:jc w:val="center"/>
              <w:rPr>
                <w:rFonts w:ascii="Times New Roman" w:hAnsi="Times New Roman" w:cs="Times New Roman"/>
                <w:b/>
                <w:bCs/>
              </w:rPr>
            </w:pPr>
            <w:r w:rsidRPr="005A6BD3">
              <w:rPr>
                <w:rFonts w:ascii="Times New Roman" w:hAnsi="Times New Roman" w:cs="Times New Roman"/>
                <w:b/>
                <w:bCs/>
              </w:rPr>
              <w:t>Projected</w:t>
            </w:r>
          </w:p>
        </w:tc>
        <w:tc>
          <w:tcPr>
            <w:tcW w:w="1170" w:type="dxa"/>
            <w:tcBorders>
              <w:top w:val="nil"/>
              <w:left w:val="nil"/>
              <w:bottom w:val="nil"/>
              <w:right w:val="single" w:sz="8" w:space="0" w:color="auto"/>
            </w:tcBorders>
            <w:shd w:val="clear" w:color="auto" w:fill="auto"/>
            <w:noWrap/>
            <w:vAlign w:val="bottom"/>
          </w:tcPr>
          <w:p w:rsidR="005A6BD3" w:rsidRPr="005A6BD3" w:rsidRDefault="005A6BD3" w:rsidP="005A6BD3">
            <w:pPr>
              <w:spacing w:after="0"/>
              <w:jc w:val="center"/>
              <w:rPr>
                <w:rFonts w:ascii="Times New Roman" w:hAnsi="Times New Roman" w:cs="Times New Roman"/>
                <w:b/>
                <w:bCs/>
              </w:rPr>
            </w:pPr>
            <w:r w:rsidRPr="005A6BD3">
              <w:rPr>
                <w:rFonts w:ascii="Times New Roman" w:hAnsi="Times New Roman" w:cs="Times New Roman"/>
                <w:b/>
                <w:bCs/>
              </w:rPr>
              <w:t>Projected</w:t>
            </w:r>
          </w:p>
        </w:tc>
        <w:tc>
          <w:tcPr>
            <w:tcW w:w="1800" w:type="dxa"/>
            <w:tcBorders>
              <w:top w:val="nil"/>
              <w:left w:val="nil"/>
              <w:bottom w:val="nil"/>
              <w:right w:val="single" w:sz="8" w:space="0" w:color="auto"/>
            </w:tcBorders>
            <w:shd w:val="clear" w:color="auto" w:fill="auto"/>
            <w:noWrap/>
            <w:vAlign w:val="bottom"/>
          </w:tcPr>
          <w:p w:rsidR="005A6BD3" w:rsidRPr="005A6BD3" w:rsidRDefault="005A6BD3" w:rsidP="005A6BD3">
            <w:pPr>
              <w:spacing w:after="0"/>
              <w:jc w:val="center"/>
              <w:rPr>
                <w:rFonts w:ascii="Times New Roman" w:hAnsi="Times New Roman" w:cs="Times New Roman"/>
                <w:b/>
                <w:bCs/>
              </w:rPr>
            </w:pPr>
            <w:r w:rsidRPr="005A6BD3">
              <w:rPr>
                <w:rFonts w:ascii="Times New Roman" w:hAnsi="Times New Roman" w:cs="Times New Roman"/>
                <w:b/>
                <w:bCs/>
              </w:rPr>
              <w:t>Projected</w:t>
            </w:r>
          </w:p>
        </w:tc>
        <w:tc>
          <w:tcPr>
            <w:tcW w:w="1822" w:type="dxa"/>
            <w:tcBorders>
              <w:top w:val="nil"/>
              <w:left w:val="nil"/>
              <w:bottom w:val="nil"/>
              <w:right w:val="single" w:sz="8" w:space="0" w:color="auto"/>
            </w:tcBorders>
            <w:shd w:val="clear" w:color="auto" w:fill="auto"/>
            <w:noWrap/>
            <w:vAlign w:val="bottom"/>
          </w:tcPr>
          <w:p w:rsidR="005A6BD3" w:rsidRPr="005A6BD3" w:rsidRDefault="005A6BD3" w:rsidP="005A6BD3">
            <w:pPr>
              <w:spacing w:after="0"/>
              <w:jc w:val="center"/>
              <w:rPr>
                <w:rFonts w:ascii="Times New Roman" w:hAnsi="Times New Roman" w:cs="Times New Roman"/>
                <w:b/>
                <w:bCs/>
              </w:rPr>
            </w:pPr>
            <w:r w:rsidRPr="005A6BD3">
              <w:rPr>
                <w:rFonts w:ascii="Times New Roman" w:hAnsi="Times New Roman" w:cs="Times New Roman"/>
                <w:b/>
                <w:bCs/>
              </w:rPr>
              <w:t>Projected</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b/>
              </w:rPr>
            </w:pPr>
            <w:r w:rsidRPr="005A6BD3">
              <w:rPr>
                <w:rFonts w:ascii="Times New Roman" w:hAnsi="Times New Roman" w:cs="Times New Roman"/>
                <w:b/>
              </w:rPr>
              <w:t>ADULTS</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c>
          <w:tcPr>
            <w:tcW w:w="1822"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Aged, Blind, or Disabled (ABD)/Medically Needy</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14,101</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14,445</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1,487.83</w:t>
            </w:r>
          </w:p>
        </w:tc>
        <w:tc>
          <w:tcPr>
            <w:tcW w:w="1822"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1,487.76</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Dual Eligible</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16,535</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17,155</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640.87</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633.42</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General</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11,260</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11,686</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528.53</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542.78</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VHAP</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38,799</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38,799</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360.31</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369.91</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VHAP ESI</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845</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810</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181.96</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206.62</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Catamount</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10,751</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11,440</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392.74</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451.65</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ESIA</w:t>
            </w:r>
          </w:p>
        </w:tc>
        <w:tc>
          <w:tcPr>
            <w:tcW w:w="1170" w:type="dxa"/>
            <w:tcBorders>
              <w:top w:val="single" w:sz="4" w:space="0" w:color="auto"/>
              <w:left w:val="nil"/>
              <w:bottom w:val="single" w:sz="18" w:space="0" w:color="000000"/>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817</w:t>
            </w:r>
          </w:p>
        </w:tc>
        <w:tc>
          <w:tcPr>
            <w:tcW w:w="1170" w:type="dxa"/>
            <w:tcBorders>
              <w:top w:val="single" w:sz="4" w:space="0" w:color="auto"/>
              <w:left w:val="nil"/>
              <w:bottom w:val="single" w:sz="18" w:space="0" w:color="000000"/>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874</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188.25</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216.52</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p>
        </w:tc>
        <w:tc>
          <w:tcPr>
            <w:tcW w:w="1170" w:type="dxa"/>
            <w:tcBorders>
              <w:top w:val="single" w:sz="18" w:space="0" w:color="000000"/>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93,105</w:t>
            </w:r>
          </w:p>
        </w:tc>
        <w:tc>
          <w:tcPr>
            <w:tcW w:w="1170" w:type="dxa"/>
            <w:tcBorders>
              <w:top w:val="single" w:sz="18" w:space="0" w:color="000000"/>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95,209</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b/>
              </w:rPr>
              <w:t>CHILDREN</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Blind or Disabled (BD)/Medically Needy</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3,657</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3,614</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1,865.56</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1,901.19</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General</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55,244</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55,564</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311.27</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316.05</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Underinsured</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1,041</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943</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182.73</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197.26</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SCHIP (Uninsured)</w:t>
            </w:r>
          </w:p>
        </w:tc>
        <w:tc>
          <w:tcPr>
            <w:tcW w:w="1170" w:type="dxa"/>
            <w:tcBorders>
              <w:top w:val="single" w:sz="4" w:space="0" w:color="auto"/>
              <w:left w:val="nil"/>
              <w:bottom w:val="single" w:sz="18" w:space="0" w:color="000000"/>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3,863</w:t>
            </w:r>
          </w:p>
        </w:tc>
        <w:tc>
          <w:tcPr>
            <w:tcW w:w="1170" w:type="dxa"/>
            <w:tcBorders>
              <w:top w:val="single" w:sz="4" w:space="0" w:color="auto"/>
              <w:left w:val="nil"/>
              <w:bottom w:val="single" w:sz="18" w:space="0" w:color="000000"/>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4,017</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195.18</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197.62</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p>
        </w:tc>
        <w:tc>
          <w:tcPr>
            <w:tcW w:w="1170" w:type="dxa"/>
            <w:tcBorders>
              <w:top w:val="single" w:sz="18" w:space="0" w:color="000000"/>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63,802</w:t>
            </w:r>
          </w:p>
        </w:tc>
        <w:tc>
          <w:tcPr>
            <w:tcW w:w="1170" w:type="dxa"/>
            <w:tcBorders>
              <w:top w:val="single" w:sz="18" w:space="0" w:color="000000"/>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64,138</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r>
      <w:tr w:rsidR="005A6BD3" w:rsidRPr="005A6BD3" w:rsidTr="009D28DE">
        <w:trPr>
          <w:trHeight w:val="31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Pharmacy Only Programs</w:t>
            </w:r>
            <w:r w:rsidRPr="005A6BD3">
              <w:rPr>
                <w:rFonts w:ascii="Times New Roman" w:hAnsi="Times New Roman" w:cs="Times New Roman"/>
                <w:b/>
                <w:bCs/>
                <w:vertAlign w:val="superscript"/>
              </w:rPr>
              <w:t>2</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12,828</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12,698</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29.98</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32.09</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b/>
              </w:rPr>
            </w:pPr>
            <w:r w:rsidRPr="005A6BD3">
              <w:rPr>
                <w:rFonts w:ascii="Times New Roman" w:hAnsi="Times New Roman" w:cs="Times New Roman"/>
                <w:b/>
              </w:rPr>
              <w:t>TOTAL</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169,739</w:t>
            </w: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172,045</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479.46</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490.54</w:t>
            </w:r>
          </w:p>
        </w:tc>
      </w:tr>
      <w:tr w:rsidR="005A6BD3" w:rsidRPr="005A6BD3" w:rsidTr="009D28DE">
        <w:trPr>
          <w:trHeight w:val="270"/>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c>
          <w:tcPr>
            <w:tcW w:w="1170" w:type="dxa"/>
            <w:tcBorders>
              <w:top w:val="nil"/>
              <w:left w:val="nil"/>
              <w:bottom w:val="nil"/>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p>
        </w:tc>
        <w:tc>
          <w:tcPr>
            <w:tcW w:w="117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p>
        </w:tc>
        <w:tc>
          <w:tcPr>
            <w:tcW w:w="1800" w:type="dxa"/>
            <w:tcBorders>
              <w:top w:val="nil"/>
              <w:left w:val="nil"/>
              <w:bottom w:val="nil"/>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c>
          <w:tcPr>
            <w:tcW w:w="1822" w:type="dxa"/>
            <w:tcBorders>
              <w:top w:val="nil"/>
              <w:left w:val="nil"/>
              <w:bottom w:val="nil"/>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r>
      <w:tr w:rsidR="005A6BD3" w:rsidRPr="005A6BD3" w:rsidTr="009D28DE">
        <w:trPr>
          <w:trHeight w:val="330"/>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LTC</w:t>
            </w:r>
            <w:r w:rsidRPr="005A6BD3">
              <w:rPr>
                <w:rFonts w:ascii="Times New Roman" w:hAnsi="Times New Roman" w:cs="Times New Roman"/>
                <w:vertAlign w:val="superscript"/>
              </w:rPr>
              <w:t xml:space="preserve"> </w:t>
            </w:r>
            <w:r w:rsidRPr="005A6BD3">
              <w:rPr>
                <w:rFonts w:ascii="Times New Roman" w:hAnsi="Times New Roman" w:cs="Times New Roman"/>
              </w:rPr>
              <w:t>– Choices for Care Waiver</w:t>
            </w:r>
          </w:p>
        </w:tc>
        <w:tc>
          <w:tcPr>
            <w:tcW w:w="1170" w:type="dxa"/>
            <w:tcBorders>
              <w:top w:val="single" w:sz="4" w:space="0" w:color="auto"/>
              <w:left w:val="nil"/>
              <w:bottom w:val="nil"/>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highlight w:val="yellow"/>
              </w:rPr>
            </w:pPr>
            <w:r w:rsidRPr="005A6BD3">
              <w:rPr>
                <w:rFonts w:ascii="Times New Roman" w:hAnsi="Times New Roman" w:cs="Times New Roman"/>
              </w:rPr>
              <w:t>3,825</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highlight w:val="yellow"/>
              </w:rPr>
            </w:pPr>
            <w:r w:rsidRPr="005A6BD3">
              <w:rPr>
                <w:rFonts w:ascii="Times New Roman" w:hAnsi="Times New Roman" w:cs="Times New Roman"/>
              </w:rPr>
              <w:t>3753</w:t>
            </w:r>
          </w:p>
        </w:tc>
        <w:tc>
          <w:tcPr>
            <w:tcW w:w="3622"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tcPr>
          <w:p w:rsidR="005A6BD3" w:rsidRPr="005A6BD3" w:rsidRDefault="005A6BD3" w:rsidP="005A6BD3">
            <w:pPr>
              <w:spacing w:after="0"/>
              <w:jc w:val="center"/>
              <w:rPr>
                <w:rFonts w:ascii="Times New Roman" w:hAnsi="Times New Roman" w:cs="Times New Roman"/>
                <w:b/>
              </w:rPr>
            </w:pPr>
            <w:r w:rsidRPr="005A6BD3">
              <w:rPr>
                <w:rFonts w:ascii="Times New Roman" w:hAnsi="Times New Roman" w:cs="Times New Roman"/>
                <w:b/>
              </w:rPr>
              <w:t>Projected Appropriations</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ind w:left="720" w:hanging="720"/>
              <w:rPr>
                <w:rFonts w:ascii="Times New Roman" w:hAnsi="Times New Roman" w:cs="Times New Roman"/>
              </w:rPr>
            </w:pPr>
            <w:r w:rsidRPr="005A6BD3">
              <w:rPr>
                <w:rFonts w:ascii="Times New Roman" w:hAnsi="Times New Roman" w:cs="Times New Roman"/>
              </w:rPr>
              <w:t xml:space="preserve">    LTC - Nursing home, HCBS, and  Residential Care</w:t>
            </w:r>
          </w:p>
        </w:tc>
        <w:tc>
          <w:tcPr>
            <w:tcW w:w="1170" w:type="dxa"/>
            <w:tcBorders>
              <w:top w:val="single" w:sz="4" w:space="0" w:color="auto"/>
              <w:left w:val="nil"/>
              <w:bottom w:val="nil"/>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c>
          <w:tcPr>
            <w:tcW w:w="1170" w:type="dxa"/>
            <w:tcBorders>
              <w:top w:val="single" w:sz="4" w:space="0" w:color="auto"/>
              <w:left w:val="nil"/>
              <w:bottom w:val="nil"/>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176,692,945</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173,331,521</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xml:space="preserve">    LTC – Acute Care</w:t>
            </w:r>
          </w:p>
        </w:tc>
        <w:tc>
          <w:tcPr>
            <w:tcW w:w="1170" w:type="dxa"/>
            <w:tcBorders>
              <w:top w:val="single" w:sz="4" w:space="0" w:color="auto"/>
              <w:left w:val="nil"/>
              <w:bottom w:val="nil"/>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c>
          <w:tcPr>
            <w:tcW w:w="1170" w:type="dxa"/>
            <w:tcBorders>
              <w:top w:val="single" w:sz="4" w:space="0" w:color="auto"/>
              <w:left w:val="nil"/>
              <w:bottom w:val="nil"/>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24,060,001</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24,175,188</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Disproportionate Share Hospital (DSH)</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37,448,781</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37,448,781</w:t>
            </w:r>
          </w:p>
        </w:tc>
      </w:tr>
      <w:tr w:rsidR="005A6BD3" w:rsidRPr="005A6BD3" w:rsidTr="009D28DE">
        <w:trPr>
          <w:trHeight w:val="255"/>
        </w:trPr>
        <w:tc>
          <w:tcPr>
            <w:tcW w:w="4320" w:type="dxa"/>
            <w:tcBorders>
              <w:top w:val="nil"/>
              <w:left w:val="single" w:sz="8" w:space="0" w:color="auto"/>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vertAlign w:val="superscript"/>
              </w:rPr>
            </w:pPr>
            <w:r w:rsidRPr="005A6BD3">
              <w:rPr>
                <w:rFonts w:ascii="Times New Roman" w:hAnsi="Times New Roman" w:cs="Times New Roman"/>
              </w:rPr>
              <w:t>Buy-In (in total)</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c>
          <w:tcPr>
            <w:tcW w:w="1170" w:type="dxa"/>
            <w:tcBorders>
              <w:top w:val="single" w:sz="4" w:space="0" w:color="auto"/>
              <w:left w:val="nil"/>
              <w:bottom w:val="single" w:sz="4"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 </w:t>
            </w:r>
          </w:p>
        </w:tc>
        <w:tc>
          <w:tcPr>
            <w:tcW w:w="1800"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36,312,942</w:t>
            </w:r>
          </w:p>
        </w:tc>
        <w:tc>
          <w:tcPr>
            <w:tcW w:w="1822" w:type="dxa"/>
            <w:tcBorders>
              <w:top w:val="nil"/>
              <w:left w:val="nil"/>
              <w:bottom w:val="single" w:sz="4"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37,732,251</w:t>
            </w:r>
          </w:p>
        </w:tc>
      </w:tr>
      <w:tr w:rsidR="005A6BD3" w:rsidRPr="005A6BD3" w:rsidTr="009D28DE">
        <w:trPr>
          <w:trHeight w:val="330"/>
        </w:trPr>
        <w:tc>
          <w:tcPr>
            <w:tcW w:w="4320" w:type="dxa"/>
            <w:tcBorders>
              <w:top w:val="nil"/>
              <w:left w:val="single" w:sz="8" w:space="0" w:color="auto"/>
              <w:bottom w:val="single" w:sz="8" w:space="0" w:color="auto"/>
              <w:right w:val="single" w:sz="8" w:space="0" w:color="auto"/>
            </w:tcBorders>
            <w:shd w:val="clear" w:color="auto" w:fill="auto"/>
            <w:noWrap/>
            <w:vAlign w:val="bottom"/>
          </w:tcPr>
          <w:p w:rsidR="005A6BD3" w:rsidRPr="005A6BD3" w:rsidRDefault="005A6BD3" w:rsidP="005A6BD3">
            <w:pPr>
              <w:spacing w:after="0"/>
              <w:rPr>
                <w:rFonts w:ascii="Times New Roman" w:hAnsi="Times New Roman" w:cs="Times New Roman"/>
              </w:rPr>
            </w:pPr>
            <w:r w:rsidRPr="005A6BD3">
              <w:rPr>
                <w:rFonts w:ascii="Times New Roman" w:hAnsi="Times New Roman" w:cs="Times New Roman"/>
              </w:rPr>
              <w:t>Clawback</w:t>
            </w:r>
          </w:p>
        </w:tc>
        <w:tc>
          <w:tcPr>
            <w:tcW w:w="1170" w:type="dxa"/>
            <w:tcBorders>
              <w:top w:val="single" w:sz="4" w:space="0" w:color="auto"/>
              <w:left w:val="nil"/>
              <w:bottom w:val="single" w:sz="8" w:space="0" w:color="auto"/>
              <w:right w:val="single" w:sz="8" w:space="0" w:color="auto"/>
            </w:tcBorders>
            <w:shd w:val="clear" w:color="auto" w:fill="auto"/>
            <w:noWrap/>
            <w:vAlign w:val="bottom"/>
          </w:tcPr>
          <w:p w:rsidR="005A6BD3" w:rsidRPr="005A6BD3" w:rsidRDefault="005A6BD3" w:rsidP="005A6BD3">
            <w:pPr>
              <w:spacing w:after="0"/>
              <w:jc w:val="center"/>
              <w:rPr>
                <w:rFonts w:ascii="Times New Roman" w:hAnsi="Times New Roman" w:cs="Times New Roman"/>
              </w:rPr>
            </w:pPr>
            <w:r w:rsidRPr="005A6BD3">
              <w:rPr>
                <w:rFonts w:ascii="Times New Roman" w:hAnsi="Times New Roman" w:cs="Times New Roman"/>
              </w:rPr>
              <w:t> </w:t>
            </w:r>
          </w:p>
        </w:tc>
        <w:tc>
          <w:tcPr>
            <w:tcW w:w="1170" w:type="dxa"/>
            <w:tcBorders>
              <w:top w:val="single" w:sz="4" w:space="0" w:color="auto"/>
              <w:left w:val="nil"/>
              <w:bottom w:val="single" w:sz="8" w:space="0" w:color="auto"/>
              <w:right w:val="single" w:sz="8" w:space="0" w:color="auto"/>
            </w:tcBorders>
            <w:shd w:val="clear" w:color="auto" w:fill="auto"/>
            <w:noWrap/>
            <w:vAlign w:val="bottom"/>
          </w:tcPr>
          <w:p w:rsidR="005A6BD3" w:rsidRPr="005A6BD3" w:rsidRDefault="005A6BD3" w:rsidP="005A6BD3">
            <w:pPr>
              <w:spacing w:after="0"/>
              <w:jc w:val="center"/>
              <w:rPr>
                <w:rFonts w:ascii="Times New Roman" w:hAnsi="Times New Roman" w:cs="Times New Roman"/>
              </w:rPr>
            </w:pPr>
            <w:r w:rsidRPr="005A6BD3">
              <w:rPr>
                <w:rFonts w:ascii="Times New Roman" w:hAnsi="Times New Roman" w:cs="Times New Roman"/>
              </w:rPr>
              <w:t> </w:t>
            </w:r>
          </w:p>
        </w:tc>
        <w:tc>
          <w:tcPr>
            <w:tcW w:w="1800" w:type="dxa"/>
            <w:tcBorders>
              <w:top w:val="nil"/>
              <w:left w:val="nil"/>
              <w:bottom w:val="single" w:sz="8"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24,019,167</w:t>
            </w:r>
          </w:p>
        </w:tc>
        <w:tc>
          <w:tcPr>
            <w:tcW w:w="1822" w:type="dxa"/>
            <w:tcBorders>
              <w:top w:val="nil"/>
              <w:left w:val="nil"/>
              <w:bottom w:val="single" w:sz="8" w:space="0" w:color="auto"/>
              <w:right w:val="single" w:sz="8" w:space="0" w:color="auto"/>
            </w:tcBorders>
            <w:shd w:val="clear" w:color="auto" w:fill="auto"/>
            <w:noWrap/>
            <w:vAlign w:val="bottom"/>
          </w:tcPr>
          <w:p w:rsidR="005A6BD3" w:rsidRPr="005A6BD3" w:rsidRDefault="005A6BD3" w:rsidP="005A6BD3">
            <w:pPr>
              <w:spacing w:after="0"/>
              <w:jc w:val="right"/>
              <w:rPr>
                <w:rFonts w:ascii="Times New Roman" w:hAnsi="Times New Roman" w:cs="Times New Roman"/>
              </w:rPr>
            </w:pPr>
            <w:r w:rsidRPr="005A6BD3">
              <w:rPr>
                <w:rFonts w:ascii="Times New Roman" w:hAnsi="Times New Roman" w:cs="Times New Roman"/>
              </w:rPr>
              <w:t>25,765,735</w:t>
            </w:r>
          </w:p>
        </w:tc>
      </w:tr>
    </w:tbl>
    <w:p w:rsidR="005A6BD3" w:rsidRDefault="005A6BD3" w:rsidP="005A6BD3">
      <w:pPr>
        <w:tabs>
          <w:tab w:val="left" w:pos="6228"/>
          <w:tab w:val="left" w:pos="8028"/>
        </w:tabs>
        <w:spacing w:after="0"/>
        <w:rPr>
          <w:rFonts w:ascii="Times New Roman" w:hAnsi="Times New Roman" w:cs="Times New Roman"/>
          <w:b/>
        </w:rPr>
      </w:pPr>
    </w:p>
    <w:p w:rsidR="005A6BD3" w:rsidRDefault="005A6BD3">
      <w:pPr>
        <w:rPr>
          <w:rFonts w:ascii="Times New Roman" w:hAnsi="Times New Roman" w:cs="Times New Roman"/>
          <w:b/>
        </w:rPr>
      </w:pPr>
      <w:r>
        <w:rPr>
          <w:rFonts w:ascii="Times New Roman" w:hAnsi="Times New Roman" w:cs="Times New Roman"/>
          <w:b/>
        </w:rPr>
        <w:br w:type="page"/>
      </w:r>
    </w:p>
    <w:p w:rsidR="005A6BD3" w:rsidRPr="00245749" w:rsidRDefault="005A6BD3" w:rsidP="005A6BD3">
      <w:pPr>
        <w:pStyle w:val="ListParagraph"/>
        <w:numPr>
          <w:ilvl w:val="0"/>
          <w:numId w:val="3"/>
        </w:numPr>
        <w:tabs>
          <w:tab w:val="left" w:pos="6228"/>
          <w:tab w:val="left" w:pos="8028"/>
        </w:tabs>
        <w:spacing w:after="0"/>
        <w:rPr>
          <w:rFonts w:ascii="Times New Roman" w:hAnsi="Times New Roman" w:cs="Times New Roman"/>
          <w:b/>
        </w:rPr>
      </w:pPr>
      <w:r w:rsidRPr="00245749">
        <w:rPr>
          <w:rFonts w:ascii="Times New Roman" w:hAnsi="Times New Roman" w:cs="Times New Roman"/>
          <w:b/>
        </w:rPr>
        <w:lastRenderedPageBreak/>
        <w:t>Health Care and Medicaid Revenues, Estimates in Millions</w:t>
      </w:r>
    </w:p>
    <w:p w:rsidR="005A6BD3" w:rsidRPr="005A6BD3" w:rsidRDefault="005A6BD3" w:rsidP="005A6BD3">
      <w:pPr>
        <w:pStyle w:val="ListParagraph"/>
        <w:tabs>
          <w:tab w:val="left" w:pos="6228"/>
          <w:tab w:val="left" w:pos="8028"/>
        </w:tabs>
        <w:spacing w:after="0"/>
        <w:ind w:left="1080"/>
        <w:rPr>
          <w:rFonts w:ascii="Times New Roman" w:hAnsi="Times New Roman" w:cs="Times New Roman"/>
        </w:rPr>
      </w:pPr>
      <w:r w:rsidRPr="005A6BD3">
        <w:rPr>
          <w:rFonts w:ascii="Times New Roman" w:hAnsi="Times New Roman" w:cs="Times New Roman"/>
          <w:b/>
        </w:rPr>
        <w:tab/>
      </w:r>
      <w:r w:rsidRPr="005A6BD3">
        <w:rPr>
          <w:rFonts w:ascii="Times New Roman" w:hAnsi="Times New Roman" w:cs="Times New Roman"/>
        </w:rPr>
        <w:tab/>
      </w:r>
    </w:p>
    <w:tbl>
      <w:tblPr>
        <w:tblStyle w:val="TableGrid"/>
        <w:tblW w:w="0" w:type="auto"/>
        <w:tblLook w:val="01E0"/>
      </w:tblPr>
      <w:tblGrid>
        <w:gridCol w:w="3888"/>
        <w:gridCol w:w="1200"/>
        <w:gridCol w:w="1200"/>
        <w:gridCol w:w="1200"/>
      </w:tblGrid>
      <w:tr w:rsidR="005A6BD3" w:rsidRPr="005A6BD3" w:rsidTr="009D28DE">
        <w:tc>
          <w:tcPr>
            <w:tcW w:w="3888" w:type="dxa"/>
          </w:tcPr>
          <w:p w:rsidR="005A6BD3" w:rsidRPr="005A6BD3" w:rsidRDefault="005A6BD3" w:rsidP="005A6BD3">
            <w:pPr>
              <w:rPr>
                <w:sz w:val="22"/>
                <w:szCs w:val="22"/>
              </w:rPr>
            </w:pPr>
          </w:p>
        </w:tc>
        <w:tc>
          <w:tcPr>
            <w:tcW w:w="1200" w:type="dxa"/>
          </w:tcPr>
          <w:p w:rsidR="005A6BD3" w:rsidRPr="005A6BD3" w:rsidRDefault="005A6BD3" w:rsidP="005A6BD3">
            <w:pPr>
              <w:jc w:val="right"/>
              <w:rPr>
                <w:b/>
                <w:sz w:val="22"/>
                <w:szCs w:val="22"/>
              </w:rPr>
            </w:pPr>
            <w:r w:rsidRPr="005A6BD3">
              <w:rPr>
                <w:b/>
                <w:sz w:val="22"/>
                <w:szCs w:val="22"/>
              </w:rPr>
              <w:t>FY 2012</w:t>
            </w:r>
          </w:p>
        </w:tc>
        <w:tc>
          <w:tcPr>
            <w:tcW w:w="1200" w:type="dxa"/>
          </w:tcPr>
          <w:p w:rsidR="005A6BD3" w:rsidRPr="005A6BD3" w:rsidRDefault="005A6BD3" w:rsidP="005A6BD3">
            <w:pPr>
              <w:jc w:val="right"/>
              <w:rPr>
                <w:b/>
                <w:sz w:val="22"/>
                <w:szCs w:val="22"/>
              </w:rPr>
            </w:pPr>
            <w:r w:rsidRPr="005A6BD3">
              <w:rPr>
                <w:b/>
                <w:sz w:val="22"/>
                <w:szCs w:val="22"/>
              </w:rPr>
              <w:t>FY 2013</w:t>
            </w:r>
          </w:p>
        </w:tc>
        <w:tc>
          <w:tcPr>
            <w:tcW w:w="1200" w:type="dxa"/>
          </w:tcPr>
          <w:p w:rsidR="005A6BD3" w:rsidRPr="005A6BD3" w:rsidRDefault="005A6BD3" w:rsidP="005A6BD3">
            <w:pPr>
              <w:jc w:val="right"/>
              <w:rPr>
                <w:b/>
                <w:sz w:val="22"/>
                <w:szCs w:val="22"/>
              </w:rPr>
            </w:pPr>
            <w:r w:rsidRPr="005A6BD3">
              <w:rPr>
                <w:b/>
                <w:sz w:val="22"/>
                <w:szCs w:val="22"/>
              </w:rPr>
              <w:t>FY 2014</w:t>
            </w:r>
          </w:p>
        </w:tc>
      </w:tr>
      <w:tr w:rsidR="005A6BD3" w:rsidRPr="005A6BD3" w:rsidTr="009D28DE">
        <w:tc>
          <w:tcPr>
            <w:tcW w:w="3888" w:type="dxa"/>
          </w:tcPr>
          <w:p w:rsidR="005A6BD3" w:rsidRPr="005A6BD3" w:rsidRDefault="005A6BD3" w:rsidP="005A6BD3">
            <w:pPr>
              <w:rPr>
                <w:sz w:val="22"/>
                <w:szCs w:val="22"/>
              </w:rPr>
            </w:pPr>
            <w:r w:rsidRPr="005A6BD3">
              <w:rPr>
                <w:sz w:val="22"/>
                <w:szCs w:val="22"/>
              </w:rPr>
              <w:t>Catamount Fund</w:t>
            </w:r>
            <w:r w:rsidRPr="005A6BD3">
              <w:rPr>
                <w:b/>
                <w:bCs/>
                <w:sz w:val="22"/>
                <w:szCs w:val="22"/>
                <w:vertAlign w:val="superscript"/>
              </w:rPr>
              <w:t>3</w:t>
            </w:r>
          </w:p>
        </w:tc>
        <w:tc>
          <w:tcPr>
            <w:tcW w:w="1200" w:type="dxa"/>
          </w:tcPr>
          <w:p w:rsidR="005A6BD3" w:rsidRPr="005A6BD3" w:rsidRDefault="005A6BD3" w:rsidP="005A6BD3">
            <w:pPr>
              <w:jc w:val="right"/>
              <w:rPr>
                <w:sz w:val="22"/>
                <w:szCs w:val="22"/>
              </w:rPr>
            </w:pPr>
            <w:r w:rsidRPr="005A6BD3">
              <w:rPr>
                <w:sz w:val="22"/>
                <w:szCs w:val="22"/>
              </w:rPr>
              <w:t>25.58</w:t>
            </w:r>
          </w:p>
        </w:tc>
        <w:tc>
          <w:tcPr>
            <w:tcW w:w="1200" w:type="dxa"/>
          </w:tcPr>
          <w:p w:rsidR="005A6BD3" w:rsidRPr="005A6BD3" w:rsidRDefault="005A6BD3" w:rsidP="005A6BD3">
            <w:pPr>
              <w:jc w:val="right"/>
              <w:rPr>
                <w:sz w:val="22"/>
                <w:szCs w:val="22"/>
              </w:rPr>
            </w:pPr>
            <w:r w:rsidRPr="005A6BD3">
              <w:rPr>
                <w:sz w:val="22"/>
                <w:szCs w:val="22"/>
              </w:rPr>
              <w:t>----</w:t>
            </w:r>
          </w:p>
        </w:tc>
        <w:tc>
          <w:tcPr>
            <w:tcW w:w="1200" w:type="dxa"/>
          </w:tcPr>
          <w:p w:rsidR="005A6BD3" w:rsidRPr="005A6BD3" w:rsidRDefault="005A6BD3" w:rsidP="005A6BD3">
            <w:pPr>
              <w:jc w:val="right"/>
              <w:rPr>
                <w:sz w:val="22"/>
                <w:szCs w:val="22"/>
              </w:rPr>
            </w:pPr>
            <w:r w:rsidRPr="005A6BD3">
              <w:rPr>
                <w:sz w:val="22"/>
                <w:szCs w:val="22"/>
              </w:rPr>
              <w:t>----</w:t>
            </w:r>
          </w:p>
        </w:tc>
      </w:tr>
      <w:tr w:rsidR="005A6BD3" w:rsidRPr="005A6BD3" w:rsidTr="009D28DE">
        <w:tc>
          <w:tcPr>
            <w:tcW w:w="3888" w:type="dxa"/>
          </w:tcPr>
          <w:p w:rsidR="005A6BD3" w:rsidRPr="005A6BD3" w:rsidRDefault="005A6BD3" w:rsidP="005A6BD3">
            <w:pPr>
              <w:rPr>
                <w:sz w:val="22"/>
                <w:szCs w:val="22"/>
              </w:rPr>
            </w:pPr>
            <w:r w:rsidRPr="005A6BD3">
              <w:rPr>
                <w:sz w:val="22"/>
                <w:szCs w:val="22"/>
              </w:rPr>
              <w:t>State Health Care Resources Fund</w:t>
            </w:r>
            <w:r w:rsidRPr="005A6BD3">
              <w:rPr>
                <w:b/>
                <w:bCs/>
                <w:sz w:val="22"/>
                <w:szCs w:val="22"/>
                <w:vertAlign w:val="superscript"/>
              </w:rPr>
              <w:t>3</w:t>
            </w:r>
          </w:p>
        </w:tc>
        <w:tc>
          <w:tcPr>
            <w:tcW w:w="1200" w:type="dxa"/>
          </w:tcPr>
          <w:p w:rsidR="005A6BD3" w:rsidRPr="005A6BD3" w:rsidRDefault="005A6BD3" w:rsidP="005A6BD3">
            <w:pPr>
              <w:jc w:val="right"/>
              <w:rPr>
                <w:sz w:val="22"/>
                <w:szCs w:val="22"/>
              </w:rPr>
            </w:pPr>
            <w:r w:rsidRPr="005A6BD3">
              <w:rPr>
                <w:sz w:val="22"/>
                <w:szCs w:val="22"/>
              </w:rPr>
              <w:t>227.70</w:t>
            </w:r>
          </w:p>
        </w:tc>
        <w:tc>
          <w:tcPr>
            <w:tcW w:w="1200" w:type="dxa"/>
          </w:tcPr>
          <w:p w:rsidR="005A6BD3" w:rsidRPr="005A6BD3" w:rsidRDefault="005A6BD3" w:rsidP="005A6BD3">
            <w:pPr>
              <w:jc w:val="right"/>
              <w:rPr>
                <w:sz w:val="22"/>
                <w:szCs w:val="22"/>
              </w:rPr>
            </w:pPr>
            <w:r w:rsidRPr="005A6BD3">
              <w:rPr>
                <w:sz w:val="22"/>
                <w:szCs w:val="22"/>
              </w:rPr>
              <w:t>266.42</w:t>
            </w:r>
          </w:p>
        </w:tc>
        <w:tc>
          <w:tcPr>
            <w:tcW w:w="1200" w:type="dxa"/>
          </w:tcPr>
          <w:p w:rsidR="005A6BD3" w:rsidRPr="005A6BD3" w:rsidRDefault="005A6BD3" w:rsidP="005A6BD3">
            <w:pPr>
              <w:jc w:val="right"/>
              <w:rPr>
                <w:sz w:val="22"/>
                <w:szCs w:val="22"/>
              </w:rPr>
            </w:pPr>
            <w:r w:rsidRPr="005A6BD3">
              <w:rPr>
                <w:sz w:val="22"/>
                <w:szCs w:val="22"/>
              </w:rPr>
              <w:t>264.94</w:t>
            </w:r>
          </w:p>
        </w:tc>
      </w:tr>
      <w:tr w:rsidR="005A6BD3" w:rsidRPr="005A6BD3" w:rsidTr="009D28DE">
        <w:tc>
          <w:tcPr>
            <w:tcW w:w="3888" w:type="dxa"/>
          </w:tcPr>
          <w:p w:rsidR="005A6BD3" w:rsidRPr="005A6BD3" w:rsidRDefault="005A6BD3" w:rsidP="005A6BD3">
            <w:pPr>
              <w:rPr>
                <w:sz w:val="22"/>
                <w:szCs w:val="22"/>
              </w:rPr>
            </w:pPr>
            <w:r w:rsidRPr="005A6BD3">
              <w:rPr>
                <w:sz w:val="22"/>
                <w:szCs w:val="22"/>
              </w:rPr>
              <w:t>Global Commitment Fund</w:t>
            </w:r>
            <w:r w:rsidRPr="005A6BD3">
              <w:rPr>
                <w:sz w:val="22"/>
                <w:szCs w:val="22"/>
                <w:vertAlign w:val="superscript"/>
              </w:rPr>
              <w:t xml:space="preserve">4 </w:t>
            </w:r>
          </w:p>
        </w:tc>
        <w:tc>
          <w:tcPr>
            <w:tcW w:w="1200" w:type="dxa"/>
          </w:tcPr>
          <w:p w:rsidR="005A6BD3" w:rsidRPr="005A6BD3" w:rsidRDefault="005A6BD3" w:rsidP="005A6BD3">
            <w:pPr>
              <w:jc w:val="right"/>
              <w:rPr>
                <w:sz w:val="22"/>
                <w:szCs w:val="22"/>
              </w:rPr>
            </w:pPr>
            <w:r w:rsidRPr="005A6BD3">
              <w:rPr>
                <w:sz w:val="22"/>
                <w:szCs w:val="22"/>
              </w:rPr>
              <w:t>1,130.01</w:t>
            </w:r>
          </w:p>
        </w:tc>
        <w:tc>
          <w:tcPr>
            <w:tcW w:w="1200" w:type="dxa"/>
          </w:tcPr>
          <w:p w:rsidR="005A6BD3" w:rsidRPr="005A6BD3" w:rsidRDefault="005A6BD3" w:rsidP="005A6BD3">
            <w:pPr>
              <w:jc w:val="right"/>
              <w:rPr>
                <w:sz w:val="22"/>
                <w:szCs w:val="22"/>
              </w:rPr>
            </w:pPr>
            <w:r w:rsidRPr="005A6BD3">
              <w:rPr>
                <w:sz w:val="22"/>
                <w:szCs w:val="22"/>
              </w:rPr>
              <w:t>1,178.93</w:t>
            </w:r>
          </w:p>
        </w:tc>
        <w:tc>
          <w:tcPr>
            <w:tcW w:w="1200" w:type="dxa"/>
          </w:tcPr>
          <w:p w:rsidR="005A6BD3" w:rsidRPr="005A6BD3" w:rsidRDefault="005A6BD3" w:rsidP="005A6BD3">
            <w:pPr>
              <w:jc w:val="right"/>
              <w:rPr>
                <w:sz w:val="22"/>
                <w:szCs w:val="22"/>
              </w:rPr>
            </w:pPr>
            <w:r w:rsidRPr="005A6BD3">
              <w:rPr>
                <w:sz w:val="22"/>
                <w:szCs w:val="22"/>
              </w:rPr>
              <w:t>----</w:t>
            </w:r>
          </w:p>
        </w:tc>
      </w:tr>
    </w:tbl>
    <w:p w:rsidR="005A6BD3" w:rsidRPr="005A6BD3" w:rsidRDefault="005A6BD3" w:rsidP="005A6BD3">
      <w:pPr>
        <w:spacing w:after="0"/>
        <w:rPr>
          <w:rFonts w:ascii="Times New Roman" w:hAnsi="Times New Roman" w:cs="Times New Roman"/>
          <w:sz w:val="18"/>
          <w:szCs w:val="18"/>
        </w:rPr>
      </w:pPr>
      <w:r w:rsidRPr="005A6BD3">
        <w:rPr>
          <w:rFonts w:ascii="Times New Roman" w:hAnsi="Times New Roman" w:cs="Times New Roman"/>
        </w:rPr>
        <w:tab/>
      </w:r>
    </w:p>
    <w:p w:rsidR="005A6BD3" w:rsidRPr="005A6BD3" w:rsidRDefault="005A6BD3" w:rsidP="005A6BD3">
      <w:pPr>
        <w:spacing w:after="0"/>
        <w:ind w:right="-1260"/>
        <w:rPr>
          <w:rFonts w:ascii="Times New Roman" w:hAnsi="Times New Roman" w:cs="Times New Roman"/>
          <w:sz w:val="18"/>
          <w:szCs w:val="18"/>
        </w:rPr>
      </w:pPr>
      <w:r w:rsidRPr="005A6BD3">
        <w:rPr>
          <w:rFonts w:ascii="Times New Roman" w:hAnsi="Times New Roman" w:cs="Times New Roman"/>
          <w:sz w:val="18"/>
          <w:szCs w:val="18"/>
          <w:vertAlign w:val="superscript"/>
        </w:rPr>
        <w:t>1</w:t>
      </w:r>
      <w:r w:rsidRPr="005A6BD3">
        <w:rPr>
          <w:rFonts w:ascii="Times New Roman" w:hAnsi="Times New Roman" w:cs="Times New Roman"/>
          <w:sz w:val="18"/>
          <w:szCs w:val="18"/>
        </w:rPr>
        <w:t>Excludes Federal Only Ladies First Program (approx. 3,000 people).</w:t>
      </w:r>
    </w:p>
    <w:p w:rsidR="005A6BD3" w:rsidRPr="005A6BD3" w:rsidRDefault="005A6BD3" w:rsidP="005A6BD3">
      <w:pPr>
        <w:spacing w:after="0"/>
        <w:ind w:right="-1260"/>
        <w:rPr>
          <w:rFonts w:ascii="Times New Roman" w:hAnsi="Times New Roman" w:cs="Times New Roman"/>
          <w:sz w:val="18"/>
          <w:szCs w:val="18"/>
        </w:rPr>
      </w:pPr>
      <w:r w:rsidRPr="005A6BD3">
        <w:rPr>
          <w:rFonts w:ascii="Times New Roman" w:hAnsi="Times New Roman" w:cs="Times New Roman"/>
          <w:sz w:val="18"/>
          <w:szCs w:val="18"/>
          <w:vertAlign w:val="superscript"/>
        </w:rPr>
        <w:t>2</w:t>
      </w:r>
      <w:r w:rsidRPr="005A6BD3">
        <w:rPr>
          <w:rFonts w:ascii="Times New Roman" w:hAnsi="Times New Roman" w:cs="Times New Roman"/>
          <w:sz w:val="18"/>
          <w:szCs w:val="18"/>
        </w:rPr>
        <w:t>Pharmacy Only includes both Global Commitment and State Only spending.</w:t>
      </w:r>
    </w:p>
    <w:p w:rsidR="005A6BD3" w:rsidRPr="005A6BD3" w:rsidRDefault="005A6BD3" w:rsidP="005A6BD3">
      <w:pPr>
        <w:spacing w:after="0"/>
        <w:ind w:right="-1260"/>
        <w:rPr>
          <w:rFonts w:ascii="Times New Roman" w:hAnsi="Times New Roman" w:cs="Times New Roman"/>
          <w:sz w:val="18"/>
          <w:szCs w:val="18"/>
        </w:rPr>
      </w:pPr>
      <w:r w:rsidRPr="005A6BD3">
        <w:rPr>
          <w:rFonts w:ascii="Times New Roman" w:hAnsi="Times New Roman" w:cs="Times New Roman"/>
          <w:sz w:val="18"/>
          <w:szCs w:val="18"/>
          <w:vertAlign w:val="superscript"/>
        </w:rPr>
        <w:t>3</w:t>
      </w:r>
      <w:r w:rsidRPr="005A6BD3">
        <w:rPr>
          <w:rFonts w:ascii="Times New Roman" w:hAnsi="Times New Roman" w:cs="Times New Roman"/>
          <w:sz w:val="18"/>
          <w:szCs w:val="18"/>
        </w:rPr>
        <w:t xml:space="preserve">Catamount Fund to be merged into State Health Care Resources Fund beginning in FY13. </w:t>
      </w:r>
    </w:p>
    <w:p w:rsidR="005A6BD3" w:rsidRPr="005A6BD3" w:rsidRDefault="005A6BD3" w:rsidP="005A6BD3">
      <w:pPr>
        <w:spacing w:after="0"/>
        <w:ind w:right="-1260"/>
        <w:rPr>
          <w:rFonts w:ascii="Times New Roman" w:hAnsi="Times New Roman" w:cs="Times New Roman"/>
          <w:sz w:val="18"/>
          <w:szCs w:val="18"/>
        </w:rPr>
      </w:pPr>
      <w:r w:rsidRPr="005A6BD3">
        <w:rPr>
          <w:rFonts w:ascii="Times New Roman" w:hAnsi="Times New Roman" w:cs="Times New Roman"/>
          <w:sz w:val="18"/>
          <w:szCs w:val="18"/>
          <w:vertAlign w:val="superscript"/>
        </w:rPr>
        <w:t>4</w:t>
      </w:r>
      <w:r w:rsidRPr="005A6BD3">
        <w:rPr>
          <w:rFonts w:ascii="Times New Roman" w:hAnsi="Times New Roman" w:cs="Times New Roman"/>
          <w:sz w:val="18"/>
          <w:szCs w:val="18"/>
        </w:rPr>
        <w:t xml:space="preserve">GCF revenue is dependent on appropriations made by the legislature to pay GCF premium. </w:t>
      </w:r>
    </w:p>
    <w:p w:rsidR="005A6BD3" w:rsidRPr="005A6BD3" w:rsidRDefault="005A6BD3" w:rsidP="005A6BD3">
      <w:pPr>
        <w:spacing w:after="0"/>
        <w:ind w:right="-1260"/>
        <w:rPr>
          <w:rFonts w:ascii="Times New Roman" w:hAnsi="Times New Roman" w:cs="Times New Roman"/>
          <w:sz w:val="18"/>
          <w:szCs w:val="18"/>
        </w:rPr>
      </w:pPr>
      <w:r w:rsidRPr="005A6BD3">
        <w:rPr>
          <w:rFonts w:ascii="Times New Roman" w:hAnsi="Times New Roman" w:cs="Times New Roman"/>
          <w:sz w:val="18"/>
          <w:szCs w:val="18"/>
          <w:vertAlign w:val="superscript"/>
        </w:rPr>
        <w:t>5</w:t>
      </w:r>
      <w:r w:rsidRPr="005A6BD3">
        <w:rPr>
          <w:rFonts w:ascii="Times New Roman" w:hAnsi="Times New Roman" w:cs="Times New Roman"/>
          <w:sz w:val="18"/>
          <w:szCs w:val="18"/>
        </w:rPr>
        <w:t xml:space="preserve">PMPMs include recognition of FY12 and FY13 transition services for VSH patients in Medicaid matchable settings </w:t>
      </w:r>
    </w:p>
    <w:p w:rsidR="005A6BD3" w:rsidRPr="005A6BD3" w:rsidRDefault="005A6BD3" w:rsidP="005A6BD3">
      <w:pPr>
        <w:spacing w:after="0" w:line="240" w:lineRule="auto"/>
        <w:rPr>
          <w:rFonts w:ascii="Times New Roman" w:hAnsi="Times New Roman" w:cs="Times New Roman"/>
          <w:sz w:val="20"/>
          <w:szCs w:val="20"/>
        </w:rPr>
      </w:pPr>
    </w:p>
    <w:p w:rsidR="005A6BD3" w:rsidRDefault="005A6BD3" w:rsidP="00270960">
      <w:pPr>
        <w:spacing w:after="0" w:line="240" w:lineRule="auto"/>
        <w:rPr>
          <w:rFonts w:ascii="Times New Roman" w:hAnsi="Times New Roman" w:cs="Times New Roman"/>
        </w:rPr>
      </w:pPr>
    </w:p>
    <w:p w:rsidR="00270960" w:rsidRPr="000B45B9" w:rsidRDefault="00270960" w:rsidP="00270960">
      <w:pPr>
        <w:spacing w:after="0" w:line="240" w:lineRule="auto"/>
        <w:ind w:left="1440"/>
        <w:rPr>
          <w:rFonts w:ascii="Times New Roman" w:hAnsi="Times New Roman" w:cs="Times New Roman"/>
          <w:sz w:val="24"/>
          <w:szCs w:val="24"/>
        </w:rPr>
      </w:pPr>
      <w:r w:rsidRPr="000B45B9">
        <w:rPr>
          <w:rFonts w:ascii="Times New Roman" w:hAnsi="Times New Roman" w:cs="Times New Roman"/>
          <w:sz w:val="24"/>
          <w:szCs w:val="24"/>
        </w:rPr>
        <w:t>The motion was passed unanimously.</w:t>
      </w:r>
    </w:p>
    <w:p w:rsidR="0092599C" w:rsidRPr="000B45B9" w:rsidRDefault="0092599C" w:rsidP="00911F45">
      <w:pPr>
        <w:spacing w:after="0" w:line="240" w:lineRule="auto"/>
        <w:ind w:left="1440"/>
        <w:rPr>
          <w:rFonts w:ascii="Times New Roman" w:hAnsi="Times New Roman" w:cs="Times New Roman"/>
          <w:sz w:val="24"/>
          <w:szCs w:val="24"/>
        </w:rPr>
      </w:pPr>
    </w:p>
    <w:p w:rsidR="00270960" w:rsidRPr="000B45B9" w:rsidRDefault="00270960" w:rsidP="00911F45">
      <w:pPr>
        <w:spacing w:after="0" w:line="240" w:lineRule="auto"/>
        <w:ind w:left="1440"/>
        <w:rPr>
          <w:rFonts w:ascii="Times New Roman" w:hAnsi="Times New Roman" w:cs="Times New Roman"/>
          <w:sz w:val="24"/>
          <w:szCs w:val="24"/>
        </w:rPr>
      </w:pPr>
    </w:p>
    <w:p w:rsidR="0092599C" w:rsidRPr="000B45B9" w:rsidRDefault="00A07346" w:rsidP="00911F45">
      <w:pPr>
        <w:spacing w:after="0" w:line="240" w:lineRule="auto"/>
        <w:ind w:left="1440"/>
        <w:rPr>
          <w:rFonts w:ascii="Times New Roman" w:hAnsi="Times New Roman" w:cs="Times New Roman"/>
          <w:sz w:val="24"/>
          <w:szCs w:val="24"/>
        </w:rPr>
      </w:pPr>
      <w:r w:rsidRPr="000B45B9">
        <w:rPr>
          <w:rFonts w:ascii="Times New Roman" w:hAnsi="Times New Roman" w:cs="Times New Roman"/>
          <w:sz w:val="24"/>
          <w:szCs w:val="24"/>
        </w:rPr>
        <w:t>The meeting adjourned</w:t>
      </w:r>
      <w:r w:rsidR="00FD1870" w:rsidRPr="000B45B9">
        <w:rPr>
          <w:rFonts w:ascii="Times New Roman" w:hAnsi="Times New Roman" w:cs="Times New Roman"/>
          <w:sz w:val="24"/>
          <w:szCs w:val="24"/>
        </w:rPr>
        <w:t xml:space="preserve"> at 1:43</w:t>
      </w:r>
      <w:r w:rsidR="0092599C" w:rsidRPr="000B45B9">
        <w:rPr>
          <w:rFonts w:ascii="Times New Roman" w:hAnsi="Times New Roman" w:cs="Times New Roman"/>
          <w:sz w:val="24"/>
          <w:szCs w:val="24"/>
        </w:rPr>
        <w:t xml:space="preserve"> p.m.</w:t>
      </w:r>
    </w:p>
    <w:p w:rsidR="0092599C" w:rsidRPr="000B45B9" w:rsidRDefault="0092599C" w:rsidP="00911F45">
      <w:pPr>
        <w:spacing w:after="0" w:line="240" w:lineRule="auto"/>
        <w:ind w:left="1440"/>
        <w:rPr>
          <w:rFonts w:ascii="Times New Roman" w:hAnsi="Times New Roman" w:cs="Times New Roman"/>
          <w:sz w:val="24"/>
          <w:szCs w:val="24"/>
        </w:rPr>
      </w:pPr>
    </w:p>
    <w:p w:rsidR="0092599C" w:rsidRPr="000B45B9" w:rsidRDefault="0092599C" w:rsidP="00911F45">
      <w:pPr>
        <w:spacing w:after="0" w:line="240" w:lineRule="auto"/>
        <w:ind w:left="1440"/>
        <w:rPr>
          <w:rFonts w:ascii="Times New Roman" w:hAnsi="Times New Roman" w:cs="Times New Roman"/>
          <w:sz w:val="24"/>
          <w:szCs w:val="24"/>
        </w:rPr>
      </w:pP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t>A true record,</w:t>
      </w:r>
    </w:p>
    <w:p w:rsidR="0092599C" w:rsidRPr="000B45B9" w:rsidRDefault="0092599C" w:rsidP="00911F45">
      <w:pPr>
        <w:spacing w:after="0" w:line="240" w:lineRule="auto"/>
        <w:ind w:left="1440"/>
        <w:rPr>
          <w:rFonts w:ascii="Times New Roman" w:hAnsi="Times New Roman" w:cs="Times New Roman"/>
          <w:sz w:val="24"/>
          <w:szCs w:val="24"/>
        </w:rPr>
      </w:pPr>
    </w:p>
    <w:p w:rsidR="0092599C" w:rsidRPr="000B45B9" w:rsidRDefault="0092599C" w:rsidP="00911F45">
      <w:pPr>
        <w:spacing w:after="0" w:line="240" w:lineRule="auto"/>
        <w:ind w:left="1440"/>
        <w:rPr>
          <w:rFonts w:ascii="Times New Roman" w:hAnsi="Times New Roman" w:cs="Times New Roman"/>
          <w:sz w:val="24"/>
          <w:szCs w:val="24"/>
        </w:rPr>
      </w:pP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t>ATTEST:</w:t>
      </w:r>
    </w:p>
    <w:p w:rsidR="0092599C" w:rsidRPr="000B45B9" w:rsidRDefault="0092599C" w:rsidP="00911F45">
      <w:pPr>
        <w:spacing w:after="0" w:line="240" w:lineRule="auto"/>
        <w:ind w:left="1440"/>
        <w:rPr>
          <w:rFonts w:ascii="Times New Roman" w:hAnsi="Times New Roman" w:cs="Times New Roman"/>
          <w:sz w:val="24"/>
          <w:szCs w:val="24"/>
        </w:rPr>
      </w:pPr>
    </w:p>
    <w:p w:rsidR="0092599C" w:rsidRPr="000B45B9" w:rsidRDefault="0092599C" w:rsidP="00911F45">
      <w:pPr>
        <w:spacing w:after="0" w:line="240" w:lineRule="auto"/>
        <w:ind w:left="1440"/>
        <w:rPr>
          <w:rFonts w:ascii="Times New Roman" w:hAnsi="Times New Roman" w:cs="Times New Roman"/>
          <w:sz w:val="24"/>
          <w:szCs w:val="24"/>
        </w:rPr>
      </w:pPr>
    </w:p>
    <w:p w:rsidR="0092599C" w:rsidRPr="000B45B9" w:rsidRDefault="0092599C" w:rsidP="00911F45">
      <w:pPr>
        <w:spacing w:after="0" w:line="240" w:lineRule="auto"/>
        <w:ind w:left="1440"/>
        <w:rPr>
          <w:rFonts w:ascii="Times New Roman" w:hAnsi="Times New Roman" w:cs="Times New Roman"/>
          <w:sz w:val="24"/>
          <w:szCs w:val="24"/>
        </w:rPr>
      </w:pPr>
    </w:p>
    <w:p w:rsidR="0092599C" w:rsidRPr="000B45B9" w:rsidRDefault="0092599C" w:rsidP="00911F45">
      <w:pPr>
        <w:spacing w:after="0" w:line="240" w:lineRule="auto"/>
        <w:ind w:left="1440"/>
        <w:rPr>
          <w:rFonts w:ascii="Times New Roman" w:hAnsi="Times New Roman" w:cs="Times New Roman"/>
          <w:sz w:val="24"/>
          <w:szCs w:val="24"/>
        </w:rPr>
      </w:pPr>
    </w:p>
    <w:p w:rsidR="0092599C" w:rsidRPr="000B45B9" w:rsidRDefault="0092599C" w:rsidP="00911F45">
      <w:pPr>
        <w:spacing w:after="0" w:line="240" w:lineRule="auto"/>
        <w:ind w:left="1440"/>
        <w:rPr>
          <w:rFonts w:ascii="Times New Roman" w:hAnsi="Times New Roman" w:cs="Times New Roman"/>
          <w:sz w:val="24"/>
          <w:szCs w:val="24"/>
        </w:rPr>
      </w:pP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t>________________________</w:t>
      </w:r>
    </w:p>
    <w:p w:rsidR="0092599C" w:rsidRPr="000B45B9" w:rsidRDefault="0092599C" w:rsidP="00911F45">
      <w:pPr>
        <w:spacing w:after="0" w:line="240" w:lineRule="auto"/>
        <w:ind w:left="1440"/>
        <w:rPr>
          <w:rFonts w:ascii="Times New Roman" w:hAnsi="Times New Roman" w:cs="Times New Roman"/>
          <w:sz w:val="24"/>
          <w:szCs w:val="24"/>
        </w:rPr>
      </w:pP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t>Alexandra MacLean</w:t>
      </w:r>
    </w:p>
    <w:p w:rsidR="0092599C" w:rsidRPr="000B45B9" w:rsidRDefault="0092599C" w:rsidP="00911F45">
      <w:pPr>
        <w:spacing w:after="0" w:line="240" w:lineRule="auto"/>
        <w:ind w:left="1440"/>
        <w:rPr>
          <w:rFonts w:ascii="Times New Roman" w:hAnsi="Times New Roman" w:cs="Times New Roman"/>
          <w:sz w:val="24"/>
          <w:szCs w:val="24"/>
        </w:rPr>
      </w:pP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r>
      <w:r w:rsidRPr="000B45B9">
        <w:rPr>
          <w:rFonts w:ascii="Times New Roman" w:hAnsi="Times New Roman" w:cs="Times New Roman"/>
          <w:sz w:val="24"/>
          <w:szCs w:val="24"/>
        </w:rPr>
        <w:tab/>
        <w:t>Secretary of Civil and Military Affairs</w:t>
      </w:r>
    </w:p>
    <w:p w:rsidR="0092599C" w:rsidRPr="000B45B9" w:rsidRDefault="0092599C" w:rsidP="00911F45">
      <w:pPr>
        <w:spacing w:after="0" w:line="240" w:lineRule="auto"/>
        <w:ind w:left="1440"/>
        <w:rPr>
          <w:rFonts w:ascii="Times New Roman" w:hAnsi="Times New Roman" w:cs="Times New Roman"/>
          <w:sz w:val="24"/>
          <w:szCs w:val="24"/>
        </w:rPr>
      </w:pPr>
    </w:p>
    <w:p w:rsidR="0092599C" w:rsidRPr="000B45B9" w:rsidRDefault="0092599C" w:rsidP="00911F45">
      <w:pPr>
        <w:spacing w:after="0" w:line="240" w:lineRule="auto"/>
        <w:ind w:left="1440"/>
        <w:rPr>
          <w:rFonts w:ascii="Times New Roman" w:hAnsi="Times New Roman" w:cs="Times New Roman"/>
          <w:sz w:val="24"/>
          <w:szCs w:val="24"/>
        </w:rPr>
      </w:pPr>
    </w:p>
    <w:p w:rsidR="0092599C" w:rsidRPr="000B45B9" w:rsidRDefault="0092599C" w:rsidP="0092599C">
      <w:pPr>
        <w:spacing w:after="0" w:line="240" w:lineRule="auto"/>
        <w:rPr>
          <w:rFonts w:ascii="Times New Roman" w:hAnsi="Times New Roman" w:cs="Times New Roman"/>
          <w:sz w:val="24"/>
          <w:szCs w:val="24"/>
        </w:rPr>
      </w:pPr>
      <w:r w:rsidRPr="000B45B9">
        <w:rPr>
          <w:rFonts w:ascii="Times New Roman" w:hAnsi="Times New Roman" w:cs="Times New Roman"/>
          <w:sz w:val="24"/>
          <w:szCs w:val="24"/>
        </w:rPr>
        <w:t>cc: Board Members</w:t>
      </w:r>
    </w:p>
    <w:p w:rsidR="0092599C" w:rsidRPr="000B45B9" w:rsidRDefault="0092599C" w:rsidP="0092599C">
      <w:pPr>
        <w:spacing w:after="0" w:line="240" w:lineRule="auto"/>
        <w:rPr>
          <w:rFonts w:ascii="Times New Roman" w:hAnsi="Times New Roman" w:cs="Times New Roman"/>
          <w:sz w:val="24"/>
          <w:szCs w:val="24"/>
        </w:rPr>
      </w:pPr>
      <w:r w:rsidRPr="000B45B9">
        <w:rPr>
          <w:rFonts w:ascii="Times New Roman" w:hAnsi="Times New Roman" w:cs="Times New Roman"/>
          <w:sz w:val="24"/>
          <w:szCs w:val="24"/>
        </w:rPr>
        <w:t>State Treasurer</w:t>
      </w:r>
    </w:p>
    <w:p w:rsidR="0092599C" w:rsidRPr="000B45B9" w:rsidRDefault="0092599C" w:rsidP="0092599C">
      <w:pPr>
        <w:spacing w:after="0" w:line="240" w:lineRule="auto"/>
        <w:rPr>
          <w:rFonts w:ascii="Times New Roman" w:hAnsi="Times New Roman" w:cs="Times New Roman"/>
          <w:sz w:val="24"/>
          <w:szCs w:val="24"/>
        </w:rPr>
      </w:pPr>
      <w:r w:rsidRPr="000B45B9">
        <w:rPr>
          <w:rFonts w:ascii="Times New Roman" w:hAnsi="Times New Roman" w:cs="Times New Roman"/>
          <w:sz w:val="24"/>
          <w:szCs w:val="24"/>
        </w:rPr>
        <w:t>State Auditor of Accounts</w:t>
      </w:r>
    </w:p>
    <w:p w:rsidR="0092599C" w:rsidRPr="000B45B9" w:rsidRDefault="0092599C" w:rsidP="0092599C">
      <w:pPr>
        <w:spacing w:after="0" w:line="240" w:lineRule="auto"/>
        <w:rPr>
          <w:rFonts w:ascii="Times New Roman" w:hAnsi="Times New Roman" w:cs="Times New Roman"/>
          <w:sz w:val="24"/>
          <w:szCs w:val="24"/>
        </w:rPr>
      </w:pPr>
      <w:r w:rsidRPr="000B45B9">
        <w:rPr>
          <w:rFonts w:ascii="Times New Roman" w:hAnsi="Times New Roman" w:cs="Times New Roman"/>
          <w:sz w:val="24"/>
          <w:szCs w:val="24"/>
        </w:rPr>
        <w:t>Other interested parties</w:t>
      </w:r>
    </w:p>
    <w:p w:rsidR="0092599C" w:rsidRPr="000B45B9" w:rsidRDefault="0092599C" w:rsidP="00911F45">
      <w:pPr>
        <w:spacing w:after="0" w:line="240" w:lineRule="auto"/>
        <w:ind w:left="1440"/>
        <w:rPr>
          <w:rFonts w:ascii="Times New Roman" w:hAnsi="Times New Roman" w:cs="Times New Roman"/>
          <w:sz w:val="24"/>
          <w:szCs w:val="24"/>
        </w:rPr>
      </w:pPr>
      <w:r w:rsidRPr="000B45B9">
        <w:rPr>
          <w:rFonts w:ascii="Times New Roman" w:hAnsi="Times New Roman" w:cs="Times New Roman"/>
          <w:sz w:val="24"/>
          <w:szCs w:val="24"/>
        </w:rPr>
        <w:t xml:space="preserve"> </w:t>
      </w:r>
    </w:p>
    <w:sectPr w:rsidR="0092599C" w:rsidRPr="000B45B9" w:rsidSect="005A6BD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D3" w:rsidRDefault="005A6BD3" w:rsidP="005A6BD3">
      <w:pPr>
        <w:spacing w:after="0" w:line="240" w:lineRule="auto"/>
      </w:pPr>
      <w:r>
        <w:separator/>
      </w:r>
    </w:p>
  </w:endnote>
  <w:endnote w:type="continuationSeparator" w:id="0">
    <w:p w:rsidR="005A6BD3" w:rsidRDefault="005A6BD3" w:rsidP="005A6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5696"/>
      <w:docPartObj>
        <w:docPartGallery w:val="Page Numbers (Bottom of Page)"/>
        <w:docPartUnique/>
      </w:docPartObj>
    </w:sdtPr>
    <w:sdtContent>
      <w:p w:rsidR="005A6BD3" w:rsidRDefault="001B1FEB">
        <w:pPr>
          <w:pStyle w:val="Footer"/>
          <w:jc w:val="center"/>
        </w:pPr>
        <w:fldSimple w:instr=" PAGE   \* MERGEFORMAT ">
          <w:r w:rsidR="00841A21">
            <w:rPr>
              <w:noProof/>
            </w:rPr>
            <w:t>3</w:t>
          </w:r>
        </w:fldSimple>
      </w:p>
    </w:sdtContent>
  </w:sdt>
  <w:p w:rsidR="005A6BD3" w:rsidRDefault="005A6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D3" w:rsidRDefault="005A6BD3" w:rsidP="005A6BD3">
      <w:pPr>
        <w:spacing w:after="0" w:line="240" w:lineRule="auto"/>
      </w:pPr>
      <w:r>
        <w:separator/>
      </w:r>
    </w:p>
  </w:footnote>
  <w:footnote w:type="continuationSeparator" w:id="0">
    <w:p w:rsidR="005A6BD3" w:rsidRDefault="005A6BD3" w:rsidP="005A6B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57A"/>
    <w:multiLevelType w:val="hybridMultilevel"/>
    <w:tmpl w:val="BBF8D1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85CAF"/>
    <w:multiLevelType w:val="hybridMultilevel"/>
    <w:tmpl w:val="238C3EFA"/>
    <w:lvl w:ilvl="0" w:tplc="22AEE9A6">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83391"/>
    <w:multiLevelType w:val="hybridMultilevel"/>
    <w:tmpl w:val="C99C1026"/>
    <w:lvl w:ilvl="0" w:tplc="334C6F3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065D"/>
    <w:rsid w:val="000A65BF"/>
    <w:rsid w:val="000B45B9"/>
    <w:rsid w:val="000E0603"/>
    <w:rsid w:val="001B1FEB"/>
    <w:rsid w:val="001D6EA2"/>
    <w:rsid w:val="00245749"/>
    <w:rsid w:val="00264D80"/>
    <w:rsid w:val="0026617D"/>
    <w:rsid w:val="00270960"/>
    <w:rsid w:val="00456AA5"/>
    <w:rsid w:val="004A2E89"/>
    <w:rsid w:val="004E0E7B"/>
    <w:rsid w:val="005138F4"/>
    <w:rsid w:val="00561A98"/>
    <w:rsid w:val="00576807"/>
    <w:rsid w:val="005A6BD3"/>
    <w:rsid w:val="0067426A"/>
    <w:rsid w:val="0070065D"/>
    <w:rsid w:val="00745676"/>
    <w:rsid w:val="0078249C"/>
    <w:rsid w:val="007C65B2"/>
    <w:rsid w:val="00841A21"/>
    <w:rsid w:val="00911F45"/>
    <w:rsid w:val="0092599C"/>
    <w:rsid w:val="00A07346"/>
    <w:rsid w:val="00B82874"/>
    <w:rsid w:val="00D87513"/>
    <w:rsid w:val="00DC4820"/>
    <w:rsid w:val="00EF27A8"/>
    <w:rsid w:val="00F1142E"/>
    <w:rsid w:val="00F154FC"/>
    <w:rsid w:val="00FA5001"/>
    <w:rsid w:val="00FD1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B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BD3"/>
    <w:pPr>
      <w:ind w:left="720"/>
      <w:contextualSpacing/>
    </w:pPr>
  </w:style>
  <w:style w:type="paragraph" w:styleId="Header">
    <w:name w:val="header"/>
    <w:basedOn w:val="Normal"/>
    <w:link w:val="HeaderChar"/>
    <w:uiPriority w:val="99"/>
    <w:semiHidden/>
    <w:unhideWhenUsed/>
    <w:rsid w:val="005A6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6BD3"/>
  </w:style>
  <w:style w:type="paragraph" w:styleId="Footer">
    <w:name w:val="footer"/>
    <w:basedOn w:val="Normal"/>
    <w:link w:val="FooterChar"/>
    <w:uiPriority w:val="99"/>
    <w:unhideWhenUsed/>
    <w:rsid w:val="005A6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B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Drusilla.Roessle</dc:creator>
  <cp:lastModifiedBy>harriet.johnson</cp:lastModifiedBy>
  <cp:revision>8</cp:revision>
  <cp:lastPrinted>2012-01-20T21:00:00Z</cp:lastPrinted>
  <dcterms:created xsi:type="dcterms:W3CDTF">2012-01-20T20:33:00Z</dcterms:created>
  <dcterms:modified xsi:type="dcterms:W3CDTF">2012-01-20T21:26:00Z</dcterms:modified>
</cp:coreProperties>
</file>